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36464" w14:textId="3D727847" w:rsidR="0012718A" w:rsidRPr="0052514D" w:rsidRDefault="0012718A" w:rsidP="001271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1F5FF5" w:rsidRPr="001F5FF5">
        <w:rPr>
          <w:rFonts w:ascii="Arial" w:eastAsia="SimSun" w:hAnsi="Arial" w:cs="Arial"/>
          <w:b/>
          <w:sz w:val="24"/>
          <w:szCs w:val="24"/>
          <w:lang w:eastAsia="zh-CN"/>
        </w:rPr>
        <w:t>R4-2415472</w:t>
      </w:r>
    </w:p>
    <w:p w14:paraId="2E0410B7" w14:textId="55916E77" w:rsidR="004D7E41" w:rsidRPr="0012718A" w:rsidRDefault="0012718A" w:rsidP="001271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6FA2831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83BAD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16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3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69FE45B0" w14:textId="40775BE1" w:rsidR="005758E6" w:rsidRDefault="00383BAD" w:rsidP="00823087">
      <w:pPr>
        <w:jc w:val="both"/>
      </w:pPr>
      <w:r>
        <w:br/>
        <w:t xml:space="preserve">In [2], a WF </w:t>
      </w:r>
      <w:r w:rsidR="000D6BD6">
        <w:t xml:space="preserve">was agreed where several </w:t>
      </w:r>
      <w:r w:rsidR="00316280">
        <w:t xml:space="preserve">topics were discussed and agreed regarding </w:t>
      </w:r>
      <w:r w:rsidR="00EF5E3B">
        <w:t xml:space="preserve">general aspects and interference profiling that would be considered during the normative phase. </w:t>
      </w:r>
      <w:r w:rsidR="005758E6">
        <w:t xml:space="preserve">In this contribution, we provide our views on </w:t>
      </w:r>
      <w:r w:rsidR="00992875">
        <w:t xml:space="preserve">the different assumptions and </w:t>
      </w:r>
      <w:r w:rsidR="00767DE1">
        <w:t xml:space="preserve">potential deltas </w:t>
      </w:r>
      <w:r w:rsidR="006A26CD">
        <w:t xml:space="preserve">that RAN4 is expected to consider </w:t>
      </w:r>
      <w:r w:rsidR="00703620">
        <w:t xml:space="preserve">in Release 19 </w:t>
      </w:r>
      <w:r w:rsidR="00767DE1">
        <w:t>compared to the work that was carried out in LTE for BS with advanced receiver</w:t>
      </w:r>
      <w:r w:rsidR="006A26CD">
        <w:t>.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5EF08782" w14:textId="4E1C9BA5" w:rsidR="001A2142" w:rsidRDefault="001E310D" w:rsidP="00530A15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3A5241">
        <w:rPr>
          <w:lang w:eastAsia="ja-JP"/>
        </w:rPr>
        <w:tab/>
      </w:r>
      <w:r w:rsidR="00B813ED">
        <w:rPr>
          <w:lang w:eastAsia="ja-JP"/>
        </w:rPr>
        <w:t xml:space="preserve">Interference modelling </w:t>
      </w:r>
    </w:p>
    <w:p w14:paraId="6AD7463D" w14:textId="0E3FB5BA" w:rsidR="00F53E15" w:rsidRDefault="000D7E97" w:rsidP="003A5241">
      <w:pPr>
        <w:rPr>
          <w:lang w:eastAsia="ja-JP"/>
        </w:rPr>
      </w:pPr>
      <w:r>
        <w:rPr>
          <w:lang w:eastAsia="ja-JP"/>
        </w:rPr>
        <w:t>Regarding the interference model</w:t>
      </w:r>
      <w:r w:rsidR="00634324">
        <w:rPr>
          <w:lang w:eastAsia="ja-JP"/>
        </w:rPr>
        <w:t xml:space="preserve">, it was agreed </w:t>
      </w:r>
      <w:r w:rsidR="00F53E15">
        <w:rPr>
          <w:lang w:eastAsia="ja-JP"/>
        </w:rPr>
        <w:t xml:space="preserve">regarding the test scenarios </w:t>
      </w:r>
      <w:r w:rsidR="00634324">
        <w:rPr>
          <w:lang w:eastAsia="ja-JP"/>
        </w:rPr>
        <w:t>in [2]</w:t>
      </w:r>
      <w:r w:rsidR="00F53E15">
        <w:rPr>
          <w:lang w:eastAsia="ja-JP"/>
        </w:rPr>
        <w:t xml:space="preserve">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53E15" w14:paraId="7699D5AC" w14:textId="77777777" w:rsidTr="00F53E15">
        <w:tc>
          <w:tcPr>
            <w:tcW w:w="9622" w:type="dxa"/>
          </w:tcPr>
          <w:p w14:paraId="4A16814F" w14:textId="77777777" w:rsidR="00F53E15" w:rsidRPr="00297414" w:rsidRDefault="00F53E15" w:rsidP="00F53E15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297414">
              <w:rPr>
                <w:lang w:eastAsia="zh-CN"/>
              </w:rPr>
              <w:t>Proposal 1: Cover HomNet and HetNet scenarios, i.e., DIP set1 and set2</w:t>
            </w:r>
            <w:r w:rsidRPr="00297414">
              <w:rPr>
                <w:rFonts w:cs="Arial"/>
                <w:color w:val="000000"/>
              </w:rPr>
              <w:t xml:space="preserve"> in TS36.104</w:t>
            </w:r>
          </w:p>
          <w:p w14:paraId="64E9C0E4" w14:textId="3FEDE1B9" w:rsidR="00F53E15" w:rsidRDefault="00F53E15" w:rsidP="003A5241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297414">
              <w:rPr>
                <w:lang w:eastAsia="zh-CN"/>
              </w:rPr>
              <w:t>Proposal 2: Consider the scenario with different TDD patterns between BS and discuss how to model the corresponding interference profile</w:t>
            </w:r>
          </w:p>
        </w:tc>
      </w:tr>
    </w:tbl>
    <w:p w14:paraId="50EB61D0" w14:textId="5E78D134" w:rsidR="00F53E15" w:rsidRDefault="00634324" w:rsidP="003A5241">
      <w:pPr>
        <w:rPr>
          <w:lang w:eastAsia="ja-JP"/>
        </w:rPr>
      </w:pPr>
      <w:r>
        <w:rPr>
          <w:lang w:eastAsia="ja-JP"/>
        </w:rPr>
        <w:t xml:space="preserve"> </w:t>
      </w:r>
    </w:p>
    <w:p w14:paraId="50C79D7E" w14:textId="64A53BE4" w:rsidR="00F53E15" w:rsidRDefault="00A95936" w:rsidP="003A5241">
      <w:pPr>
        <w:rPr>
          <w:lang w:eastAsia="zh-CN"/>
        </w:rPr>
      </w:pPr>
      <w:r>
        <w:rPr>
          <w:lang w:eastAsia="ja-JP"/>
        </w:rPr>
        <w:t xml:space="preserve">To prioritize the work within RAN4, following the WID objectives, our preference </w:t>
      </w:r>
      <w:r w:rsidR="004912C6">
        <w:rPr>
          <w:lang w:eastAsia="ja-JP"/>
        </w:rPr>
        <w:t xml:space="preserve">would be proposal 1, where focus should be set primarily on </w:t>
      </w:r>
      <w:r w:rsidR="004912C6">
        <w:rPr>
          <w:lang w:eastAsia="zh-CN"/>
        </w:rPr>
        <w:t>TDD synchronous deployments</w:t>
      </w:r>
      <w:r w:rsidR="005611DE">
        <w:rPr>
          <w:lang w:eastAsia="zh-CN"/>
        </w:rPr>
        <w:t xml:space="preserve">. Considering different TDD patterns between the BSs might be investigated later, but we believe that synchronous deployments </w:t>
      </w:r>
      <w:r w:rsidR="00D73A5D">
        <w:rPr>
          <w:lang w:eastAsia="zh-CN"/>
        </w:rPr>
        <w:t xml:space="preserve">along with possibility to incorporate </w:t>
      </w:r>
      <w:r w:rsidR="00F2540E">
        <w:rPr>
          <w:lang w:eastAsia="zh-CN"/>
        </w:rPr>
        <w:t>high power UE (</w:t>
      </w:r>
      <w:r w:rsidR="00D73A5D">
        <w:rPr>
          <w:lang w:eastAsia="zh-CN"/>
        </w:rPr>
        <w:t>HPUE</w:t>
      </w:r>
      <w:r w:rsidR="00F2540E">
        <w:rPr>
          <w:lang w:eastAsia="zh-CN"/>
        </w:rPr>
        <w:t>)</w:t>
      </w:r>
      <w:r w:rsidR="00D73A5D">
        <w:rPr>
          <w:lang w:eastAsia="zh-CN"/>
        </w:rPr>
        <w:t xml:space="preserve"> impact on top of interference profiles realized from TR 36.</w:t>
      </w:r>
      <w:r w:rsidR="00E7466F">
        <w:rPr>
          <w:lang w:eastAsia="zh-CN"/>
        </w:rPr>
        <w:t xml:space="preserve">884 [3] would be relevant to the Rel-19 WID objectives. </w:t>
      </w:r>
    </w:p>
    <w:p w14:paraId="17EE038A" w14:textId="678F3421" w:rsidR="00AC7215" w:rsidRDefault="00AC7215" w:rsidP="00F737C7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rFonts w:cs="Arial"/>
          <w:b/>
          <w:bCs/>
          <w:color w:val="000000"/>
        </w:rPr>
      </w:pPr>
      <w:r w:rsidRPr="00F737C7">
        <w:rPr>
          <w:b/>
          <w:bCs/>
          <w:u w:val="single"/>
          <w:lang w:eastAsia="zh-CN"/>
        </w:rPr>
        <w:t>Proposal 1</w:t>
      </w:r>
      <w:r w:rsidRPr="00F737C7">
        <w:rPr>
          <w:b/>
          <w:bCs/>
          <w:lang w:eastAsia="zh-CN"/>
        </w:rPr>
        <w:t xml:space="preserve">: RAN4 to consider </w:t>
      </w:r>
      <w:r w:rsidR="00F737C7" w:rsidRPr="00F737C7">
        <w:rPr>
          <w:b/>
          <w:bCs/>
          <w:lang w:eastAsia="zh-CN"/>
        </w:rPr>
        <w:t>Cover HomNet and HetNet scenarios, i.e., DIP set1 and set2</w:t>
      </w:r>
      <w:r w:rsidR="00F737C7" w:rsidRPr="00F737C7">
        <w:rPr>
          <w:rFonts w:cs="Arial"/>
          <w:b/>
          <w:bCs/>
          <w:color w:val="000000"/>
        </w:rPr>
        <w:t xml:space="preserve"> in TS36.104, assuming synchronous deployments as a starting point for the Rel-19 WI phase. </w:t>
      </w:r>
    </w:p>
    <w:p w14:paraId="7D77B5DE" w14:textId="4DB0725F" w:rsidR="00BF3FA0" w:rsidRDefault="00BF3FA0" w:rsidP="00F737C7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rFonts w:cs="Arial"/>
          <w:color w:val="000000"/>
        </w:rPr>
      </w:pPr>
    </w:p>
    <w:p w14:paraId="4C41BED9" w14:textId="74E02244" w:rsidR="00BF3FA0" w:rsidRDefault="00BF3FA0" w:rsidP="00F737C7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rFonts w:cs="Arial"/>
          <w:color w:val="000000"/>
        </w:rPr>
      </w:pPr>
      <w:r>
        <w:rPr>
          <w:rFonts w:cs="Arial"/>
          <w:color w:val="000000"/>
        </w:rPr>
        <w:t>On the interference modelling, the following was captured in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BF3FA0" w14:paraId="1104EA32" w14:textId="77777777" w:rsidTr="00BF3FA0">
        <w:tc>
          <w:tcPr>
            <w:tcW w:w="9622" w:type="dxa"/>
          </w:tcPr>
          <w:p w14:paraId="4F4C6F35" w14:textId="77777777" w:rsidR="00BF3FA0" w:rsidRPr="00297414" w:rsidRDefault="00BF3FA0" w:rsidP="00BF3FA0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60" w:after="60"/>
              <w:ind w:left="284" w:hanging="284"/>
              <w:textAlignment w:val="auto"/>
              <w:rPr>
                <w:rFonts w:eastAsia="SimSun"/>
                <w:lang w:eastAsia="zh-CN"/>
              </w:rPr>
            </w:pPr>
            <w:r w:rsidRPr="00297414">
              <w:rPr>
                <w:rFonts w:eastAsia="SimSun"/>
                <w:lang w:eastAsia="zh-CN"/>
              </w:rPr>
              <w:lastRenderedPageBreak/>
              <w:t>on interference modelling criteria:</w:t>
            </w:r>
          </w:p>
          <w:p w14:paraId="42532C54" w14:textId="77777777" w:rsidR="00BF3FA0" w:rsidRPr="00297414" w:rsidRDefault="00BF3FA0" w:rsidP="00BF3FA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297414">
              <w:rPr>
                <w:lang w:eastAsia="zh-CN"/>
              </w:rPr>
              <w:t>Option 1: Use INR-based modelling + SNR-based requirement definition criteria and transfer the DIP value into INR value</w:t>
            </w:r>
          </w:p>
          <w:p w14:paraId="62632810" w14:textId="541AFD06" w:rsidR="00BF3FA0" w:rsidRDefault="00BF3FA0" w:rsidP="00F737C7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297414">
              <w:rPr>
                <w:rFonts w:hint="eastAsia"/>
                <w:lang w:eastAsia="zh-CN"/>
              </w:rPr>
              <w:t>O</w:t>
            </w:r>
            <w:r w:rsidRPr="00297414">
              <w:rPr>
                <w:lang w:eastAsia="zh-CN"/>
              </w:rPr>
              <w:t>ption 2: DIP-based modelling</w:t>
            </w:r>
          </w:p>
        </w:tc>
      </w:tr>
    </w:tbl>
    <w:p w14:paraId="64501AD3" w14:textId="2862F1EB" w:rsidR="00883A0D" w:rsidRDefault="00C53FA0" w:rsidP="00F737C7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lang w:eastAsia="zh-CN"/>
        </w:rPr>
      </w:pPr>
      <w:r>
        <w:rPr>
          <w:lang w:eastAsia="zh-CN"/>
        </w:rPr>
        <w:t>The DIP model, explained in Section B</w:t>
      </w:r>
      <w:r w:rsidR="00275A9F">
        <w:rPr>
          <w:lang w:eastAsia="zh-CN"/>
        </w:rPr>
        <w:t xml:space="preserve">.6.1 in TS 36.104, </w:t>
      </w:r>
      <w:r w:rsidR="00883A0D" w:rsidRPr="00883A0D">
        <w:rPr>
          <w:lang w:eastAsia="zh-CN"/>
        </w:rPr>
        <w:t>is characterized by its associated dominant interferer proportion (DIP) value</w:t>
      </w:r>
      <w:r w:rsidR="00BC68D8">
        <w:rPr>
          <w:lang w:eastAsia="zh-CN"/>
        </w:rPr>
        <w:t xml:space="preserve">, which </w:t>
      </w:r>
      <w:r w:rsidR="00BC68D8">
        <w:t xml:space="preserve">is defined as the ratio of the power of </w:t>
      </w:r>
      <m:oMath>
        <m:r>
          <w:rPr>
            <w:rFonts w:ascii="Cambria Math" w:hAnsi="Cambria Math"/>
          </w:rPr>
          <m:t>ith</m:t>
        </m:r>
      </m:oMath>
      <w:r w:rsidR="00BC68D8">
        <w:t xml:space="preserve"> strongest interference to the power of all interfering UEs plus noise</w:t>
      </w:r>
      <w:r w:rsidR="00FF6982">
        <w:t xml:space="preserve">. It is typically assumed that the thermal noise power for a given channel bandwidth is the same for all </w:t>
      </w:r>
      <w:r w:rsidR="0039424F">
        <w:t>UE and</w:t>
      </w:r>
      <w:r w:rsidR="00FF6982">
        <w:t xml:space="preserve"> denoted by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BC68D8">
        <w:t xml:space="preserve">. </w:t>
      </w:r>
      <w:r w:rsidR="00FF6982">
        <w:t>Additionally, a</w:t>
      </w:r>
      <w:r w:rsidR="00BC68D8">
        <w:t xml:space="preserve">ssuming that there are </w:t>
      </w:r>
      <w:r w:rsidR="006A2B89">
        <w:t xml:space="preserve">total inter-cell interfering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UE </m:t>
            </m:r>
          </m:sub>
        </m:sSub>
      </m:oMath>
      <w:r w:rsidR="006A2B89">
        <w:t>UEs</w:t>
      </w:r>
      <w:r w:rsidR="00BC68D8">
        <w:t xml:space="preserve"> and the received signal power of </w:t>
      </w:r>
      <w:r w:rsidR="00FF6982">
        <w:t xml:space="preserve">the </w:t>
      </w:r>
      <w:r w:rsidR="00BC68D8">
        <w:t xml:space="preserve">UE </w:t>
      </w:r>
      <w:r w:rsidR="00FF6982">
        <w:t xml:space="preserve">of interest </w:t>
      </w:r>
      <w:r w:rsidR="00BC68D8">
        <w:t>is</w:t>
      </w:r>
      <w:r w:rsidR="00677D5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 w:rsidR="00677D5D">
        <w:t xml:space="preserve"> </w:t>
      </w:r>
      <w:r w:rsidR="00BC68D8">
        <w:t>,</w:t>
      </w:r>
      <w:r w:rsidR="00BC68D8">
        <w:rPr>
          <w:rFonts w:hint="eastAsia"/>
        </w:rPr>
        <w:t xml:space="preserve"> </w:t>
      </w:r>
      <w:r w:rsidR="00FF6982">
        <w:t>while</w:t>
      </w:r>
      <w:r w:rsidR="00BC68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BC68D8">
        <w:t xml:space="preserve">are </w:t>
      </w:r>
      <w:r w:rsidR="00FF6982">
        <w:t>the interfering UEs</w:t>
      </w:r>
      <w:r w:rsidR="00BC68D8">
        <w:t xml:space="preserve">. </w:t>
      </w:r>
      <w:r w:rsidR="005F4E97">
        <w:t xml:space="preserve">The DIP for the </w:t>
      </w:r>
      <w:r w:rsidR="005F4E97" w:rsidRPr="005F4E97">
        <w:rPr>
          <w:i/>
          <w:iCs/>
        </w:rPr>
        <w:t>i</w:t>
      </w:r>
      <w:r w:rsidR="005F4E97">
        <w:t xml:space="preserve">-th UE can be expressed as </w:t>
      </w:r>
    </w:p>
    <w:p w14:paraId="55FDE45F" w14:textId="6388DEA8" w:rsidR="00556D06" w:rsidRDefault="001F5FF5" w:rsidP="00556D06">
      <w:pPr>
        <w:ind w:left="360" w:firstLine="7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DIP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  <m:r>
          <w:rPr>
            <w:rFonts w:ascii="Cambria Math" w:hAnsi="Cambria Math"/>
          </w:rPr>
          <m:t xml:space="preserve">, where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j=1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p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</m:nary>
        <m:r>
          <w:rPr>
            <w:rFonts w:ascii="Cambria Math" w:hAnsi="Cambria Math"/>
          </w:rPr>
          <m:t>, i=1,2,…,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="00556D06">
        <w:t xml:space="preserve"> </w:t>
      </w:r>
      <w:r w:rsidR="00556D06">
        <w:tab/>
        <w:t xml:space="preserve">    </w:t>
      </w:r>
      <w:r w:rsidR="00556D06">
        <w:rPr>
          <w:rFonts w:hint="eastAsia"/>
        </w:rPr>
        <w:t xml:space="preserve"> </w:t>
      </w:r>
      <w:r w:rsidR="00556D06">
        <w:tab/>
      </w:r>
      <w:r w:rsidR="00556D06">
        <w:rPr>
          <w:rFonts w:hint="eastAsia"/>
        </w:rPr>
        <w:t xml:space="preserve">            </w:t>
      </w:r>
    </w:p>
    <w:p w14:paraId="6AC06FA7" w14:textId="77777777" w:rsidR="00861244" w:rsidRDefault="00D07B54" w:rsidP="00861244">
      <w:r>
        <w:t xml:space="preserve">Consequently, the </w:t>
      </w:r>
      <w:r w:rsidR="00556D06">
        <w:t>UL SINR is</w:t>
      </w:r>
      <w:r>
        <w:t xml:space="preserve"> </w:t>
      </w:r>
      <m:oMath>
        <m:r>
          <w:rPr>
            <w:rFonts w:ascii="Cambria Math" w:hAnsi="Cambria Math"/>
          </w:rPr>
          <m:t xml:space="preserve">SINR=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</m:oMath>
      <w:r>
        <w:t xml:space="preserve">. </w:t>
      </w:r>
      <w:r w:rsidR="00654345">
        <w:t xml:space="preserve">On the other hand, INR </w:t>
      </w:r>
      <w:r w:rsidR="00654345">
        <w:rPr>
          <w:rFonts w:hint="eastAsia"/>
        </w:rPr>
        <w:t xml:space="preserve">model </w:t>
      </w:r>
      <w:r w:rsidR="00654345">
        <w:t xml:space="preserve">was also adopted in several demodulation requirements definition for UE. Mathematically, the INR model is defined as the following: </w:t>
      </w:r>
    </w:p>
    <w:p w14:paraId="302DFEA3" w14:textId="73885393" w:rsidR="00654345" w:rsidRDefault="001F5FF5" w:rsidP="00861244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INR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or(i)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(j)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(j)</m:t>
                      </m:r>
                    </m:sup>
                  </m:sSubSup>
                </m:e>
              </m:nary>
            </m:den>
          </m:f>
        </m:oMath>
      </m:oMathPara>
    </w:p>
    <w:p w14:paraId="617566B3" w14:textId="319956C3" w:rsidR="00883A0D" w:rsidRDefault="00654345" w:rsidP="00654345">
      <w:pPr>
        <w:rPr>
          <w:szCs w:val="24"/>
        </w:rPr>
      </w:pPr>
      <w:r>
        <w:t>W</w:t>
      </w:r>
      <w:r>
        <w:rPr>
          <w:rFonts w:hint="eastAsia"/>
        </w:rPr>
        <w:t xml:space="preserve">here,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or(i)</m:t>
            </m:r>
          </m:sub>
          <m:sup>
            <m:r>
              <w:rPr>
                <w:rFonts w:ascii="Cambria Math" w:hAnsi="Cambria Math"/>
              </w:rPr>
              <m:t>(j)</m:t>
            </m:r>
          </m:sup>
        </m:sSubSup>
      </m:oMath>
      <w:r>
        <w:rPr>
          <w:rFonts w:hint="eastAsia"/>
        </w:rPr>
        <w:t xml:space="preserve"> is the </w:t>
      </w:r>
      <w:r>
        <w:t xml:space="preserve">average received power spectral density from the </w:t>
      </w:r>
      <m:oMath>
        <m:r>
          <w:rPr>
            <w:rFonts w:ascii="Cambria Math" w:hAnsi="Cambria Math"/>
          </w:rPr>
          <m:t>i</m:t>
        </m:r>
      </m:oMath>
      <w:r>
        <w:t xml:space="preserve">-th strongest interfering </w:t>
      </w:r>
      <w:r w:rsidR="00861244">
        <w:t>UE</w:t>
      </w:r>
      <w:r>
        <w:t xml:space="preserve"> involved in the</w:t>
      </w:r>
      <w:r>
        <w:rPr>
          <w:rFonts w:hint="eastAsia"/>
        </w:rPr>
        <w:t xml:space="preserve"> </w:t>
      </w:r>
      <w:r>
        <w:t xml:space="preserve">requirement scenario on the </w:t>
      </w:r>
      <m:oMath>
        <m:r>
          <w:rPr>
            <w:rFonts w:ascii="Cambria Math" w:hAnsi="Cambria Math"/>
          </w:rPr>
          <m:t>j</m:t>
        </m:r>
      </m:oMath>
      <w:r>
        <w:t xml:space="preserve">-th antenna connector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oc</m:t>
            </m:r>
          </m:sub>
          <m:sup>
            <m:r>
              <w:rPr>
                <w:rFonts w:ascii="Cambria Math" w:hAnsi="Cambria Math"/>
              </w:rPr>
              <m:t>(j)</m:t>
            </m:r>
          </m:sup>
        </m:sSubSup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is </w:t>
      </w:r>
      <w:r>
        <w:t>the average power spectral density of a white noise</w:t>
      </w:r>
      <w:r>
        <w:rPr>
          <w:rFonts w:hint="eastAsia"/>
        </w:rPr>
        <w:t xml:space="preserve"> </w:t>
      </w:r>
      <w:r>
        <w:t>source</w:t>
      </w:r>
      <w:r>
        <w:rPr>
          <w:rFonts w:hint="eastAsia"/>
        </w:rPr>
        <w:t xml:space="preserve"> on the </w:t>
      </w:r>
      <m:oMath>
        <m:r>
          <w:rPr>
            <w:rFonts w:ascii="Cambria Math" w:hAnsi="Cambria Math"/>
          </w:rPr>
          <m:t>j</m:t>
        </m:r>
      </m:oMath>
      <w:r>
        <w:t>-th antenna connector</w:t>
      </w:r>
      <w:r w:rsidR="00861244">
        <w:t xml:space="preserve">. As shown in </w:t>
      </w:r>
      <w:r w:rsidR="00D9575C" w:rsidRPr="00276F20">
        <w:rPr>
          <w:szCs w:val="24"/>
        </w:rPr>
        <w:t>R4-2</w:t>
      </w:r>
      <w:r w:rsidR="00D9575C">
        <w:rPr>
          <w:szCs w:val="24"/>
        </w:rPr>
        <w:t>41</w:t>
      </w:r>
      <w:r w:rsidR="00D9575C">
        <w:rPr>
          <w:rFonts w:hint="eastAsia"/>
          <w:szCs w:val="24"/>
        </w:rPr>
        <w:t>2143</w:t>
      </w:r>
      <w:r w:rsidR="00D9575C">
        <w:rPr>
          <w:szCs w:val="24"/>
        </w:rPr>
        <w:t xml:space="preserve">, the DIP and INR model are related and thus, a combined formulation between both can be achieved. </w:t>
      </w:r>
      <w:r w:rsidR="00E45DA8">
        <w:rPr>
          <w:szCs w:val="24"/>
        </w:rPr>
        <w:t xml:space="preserve">It is thus our preference for RAN4 to adopt the INR methodology when defining the demodulation requirements for the BS with MMSE-IRC receiver for two reasons. Firstly, </w:t>
      </w:r>
      <w:r w:rsidR="000A7EB4">
        <w:rPr>
          <w:szCs w:val="24"/>
        </w:rPr>
        <w:t xml:space="preserve">INR has been adopted for defining UE demodulation requirements, thus from a consistency point of view, it is desirable to keep the UE and BS requirements consistent. Secondly, </w:t>
      </w:r>
      <w:r w:rsidR="0039424F">
        <w:rPr>
          <w:szCs w:val="24"/>
        </w:rPr>
        <w:t xml:space="preserve">for link level simulations, INR is easier to consider when compared to DIP. </w:t>
      </w:r>
    </w:p>
    <w:p w14:paraId="064BE86A" w14:textId="3E662761" w:rsidR="0039424F" w:rsidRDefault="0039424F" w:rsidP="00654345">
      <w:pPr>
        <w:rPr>
          <w:b/>
          <w:bCs/>
          <w:lang w:eastAsia="zh-CN"/>
        </w:rPr>
      </w:pPr>
      <w:r w:rsidRPr="000A7B2E">
        <w:rPr>
          <w:b/>
          <w:bCs/>
          <w:u w:val="single"/>
          <w:lang w:eastAsia="zh-CN"/>
        </w:rPr>
        <w:t>Proposal 2</w:t>
      </w:r>
      <w:r w:rsidRPr="000A7B2E">
        <w:rPr>
          <w:b/>
          <w:bCs/>
          <w:lang w:eastAsia="zh-CN"/>
        </w:rPr>
        <w:t xml:space="preserve">: Although INR and DIP interference modelling can be expressed by one another, it is proposed for RAN4 to adopt the INR interference model when defining the </w:t>
      </w:r>
      <w:r w:rsidR="000A7B2E" w:rsidRPr="000A7B2E">
        <w:rPr>
          <w:b/>
          <w:bCs/>
          <w:lang w:eastAsia="zh-CN"/>
        </w:rPr>
        <w:t xml:space="preserve">demodulation requirements for Rel-19 BS with MMSE-IRC receiver. </w:t>
      </w:r>
    </w:p>
    <w:p w14:paraId="78EDB488" w14:textId="77777777" w:rsidR="00C846F2" w:rsidRDefault="00C846F2" w:rsidP="00C846F2">
      <w:pPr>
        <w:rPr>
          <w:lang w:eastAsia="ja-JP"/>
        </w:rPr>
      </w:pPr>
      <w:r>
        <w:rPr>
          <w:lang w:eastAsia="ja-JP"/>
        </w:rPr>
        <w:t xml:space="preserve">As captured in [1], the motivation behind Rel-19 WI on BS demodulation requirement with enhanced receiver is to consider more realistic scenarios for dense deployments where uplink interference from co-scheduled UEs in the neighbouring cells can be a limiting factor to the uplink performance. </w:t>
      </w:r>
      <w:r>
        <w:t xml:space="preserve">High power UEs are being extensively studied and standardized within 3GPP (e.g., </w:t>
      </w:r>
      <w:r w:rsidRPr="009570AD">
        <w:t xml:space="preserve">high-power UE </w:t>
      </w:r>
      <w:r>
        <w:t>(PC</w:t>
      </w:r>
      <w:r w:rsidRPr="009570AD">
        <w:t xml:space="preserve"> 1.5) </w:t>
      </w:r>
      <w:r>
        <w:t>in</w:t>
      </w:r>
      <w:r w:rsidRPr="009570AD">
        <w:t xml:space="preserve"> n77 and n78 (RP-202912), high power UE for NR TDD intra-band Carrier Aggregation </w:t>
      </w:r>
      <w:r>
        <w:t>for</w:t>
      </w:r>
      <w:r w:rsidRPr="009570AD">
        <w:t xml:space="preserve"> FR1 (RP-221774), and high-power UE operation for fixed-wireless/vehicle-mounted use cases in LTE bands and NR bands (RP-221795)</w:t>
      </w:r>
      <w:r>
        <w:t xml:space="preserve">), with the system and link level benefits of high power UEs, the inter- and intra-cell interference dynamics can be different, especially for urban dense deployments. Accordingly, </w:t>
      </w:r>
      <w:r>
        <w:rPr>
          <w:lang w:eastAsia="ja-JP"/>
        </w:rPr>
        <w:t xml:space="preserve">suppression of such interference based on advanced BS receiver can provide an uplink performance boost in terms of coverage. </w:t>
      </w:r>
    </w:p>
    <w:p w14:paraId="39263197" w14:textId="29E894EC" w:rsidR="001E4DFB" w:rsidRDefault="004215DE" w:rsidP="00C846F2">
      <w:pPr>
        <w:rPr>
          <w:lang w:eastAsia="ja-JP"/>
        </w:rPr>
      </w:pPr>
      <w:r>
        <w:rPr>
          <w:lang w:eastAsia="ja-JP"/>
        </w:rPr>
        <w:t xml:space="preserve">To account for HPUEs, </w:t>
      </w:r>
      <w:r w:rsidR="002E25D5">
        <w:rPr>
          <w:lang w:eastAsia="ja-JP"/>
        </w:rPr>
        <w:t>RAN4 could consider</w:t>
      </w:r>
      <w:r w:rsidR="002E25D5" w:rsidRPr="002E25D5">
        <w:rPr>
          <w:lang w:eastAsia="ja-JP"/>
        </w:rPr>
        <w:t xml:space="preserve"> artificial value</w:t>
      </w:r>
      <w:r w:rsidR="002E25D5">
        <w:rPr>
          <w:lang w:eastAsia="ja-JP"/>
        </w:rPr>
        <w:t>s for DIP/INR</w:t>
      </w:r>
      <w:r w:rsidR="002E25D5" w:rsidRPr="002E25D5">
        <w:rPr>
          <w:lang w:eastAsia="ja-JP"/>
        </w:rPr>
        <w:t xml:space="preserve">, </w:t>
      </w:r>
      <w:r w:rsidR="002E25D5">
        <w:rPr>
          <w:lang w:eastAsia="ja-JP"/>
        </w:rPr>
        <w:t xml:space="preserve">where </w:t>
      </w:r>
      <w:r w:rsidR="00C76D47">
        <w:rPr>
          <w:lang w:eastAsia="ja-JP"/>
        </w:rPr>
        <w:t xml:space="preserve">different interference levels could be simulated to ensure the impact of HPUEs is accounted for in the link level studies. </w:t>
      </w:r>
      <w:r w:rsidR="002E25D5" w:rsidRPr="002E25D5">
        <w:rPr>
          <w:lang w:eastAsia="ja-JP"/>
        </w:rPr>
        <w:t xml:space="preserve">For example, </w:t>
      </w:r>
      <w:r w:rsidR="00E30E51">
        <w:rPr>
          <w:lang w:eastAsia="ja-JP"/>
        </w:rPr>
        <w:t>the impact of high UE power classes (PC2 or PC1) could</w:t>
      </w:r>
      <w:r w:rsidR="00565FBB">
        <w:rPr>
          <w:lang w:eastAsia="ja-JP"/>
        </w:rPr>
        <w:t xml:space="preserve"> be </w:t>
      </w:r>
      <w:r w:rsidR="00F2540E">
        <w:rPr>
          <w:lang w:eastAsia="ja-JP"/>
        </w:rPr>
        <w:t xml:space="preserve">investigated by adjusting the LTE INR/DIP values with the additional 3 or 7 dB to check the performance impact. In our views, addressing HPUEs </w:t>
      </w:r>
      <w:r w:rsidR="00FF4596">
        <w:rPr>
          <w:lang w:eastAsia="ja-JP"/>
        </w:rPr>
        <w:t xml:space="preserve">should be further investigated within RAN4. </w:t>
      </w:r>
    </w:p>
    <w:p w14:paraId="739577D6" w14:textId="3AA9D27E" w:rsidR="00251CA5" w:rsidRPr="007D1558" w:rsidRDefault="001E4DFB" w:rsidP="00654345">
      <w:pPr>
        <w:rPr>
          <w:b/>
          <w:bCs/>
          <w:i/>
          <w:iCs/>
        </w:rPr>
      </w:pPr>
      <w:bookmarkStart w:id="2" w:name="_Toc174001399"/>
      <w:r w:rsidRPr="007D1558">
        <w:rPr>
          <w:b/>
          <w:bCs/>
          <w:u w:val="single"/>
        </w:rPr>
        <w:t>Proposal 3</w:t>
      </w:r>
      <w:r w:rsidRPr="001E4DFB">
        <w:rPr>
          <w:rFonts w:hint="eastAsia"/>
          <w:b/>
          <w:bCs/>
        </w:rPr>
        <w:t xml:space="preserve">: </w:t>
      </w:r>
      <w:r w:rsidR="00FF4596">
        <w:rPr>
          <w:b/>
          <w:bCs/>
        </w:rPr>
        <w:t xml:space="preserve">RAN4 to </w:t>
      </w:r>
      <w:r w:rsidR="00445A40">
        <w:rPr>
          <w:b/>
          <w:bCs/>
        </w:rPr>
        <w:t xml:space="preserve">discuss </w:t>
      </w:r>
      <w:r w:rsidR="00FF4596">
        <w:rPr>
          <w:b/>
          <w:bCs/>
        </w:rPr>
        <w:t>adjust</w:t>
      </w:r>
      <w:r w:rsidR="00445A40">
        <w:rPr>
          <w:b/>
          <w:bCs/>
        </w:rPr>
        <w:t>ing</w:t>
      </w:r>
      <w:r w:rsidR="00FF4596">
        <w:rPr>
          <w:b/>
          <w:bCs/>
        </w:rPr>
        <w:t xml:space="preserve"> INR/DIP values</w:t>
      </w:r>
      <w:r w:rsidR="00445A40">
        <w:rPr>
          <w:b/>
          <w:bCs/>
        </w:rPr>
        <w:t xml:space="preserve">, </w:t>
      </w:r>
      <w:r w:rsidR="009A16C8">
        <w:rPr>
          <w:b/>
          <w:bCs/>
        </w:rPr>
        <w:t xml:space="preserve">e.g., scaling INR/DIP </w:t>
      </w:r>
      <w:r w:rsidR="001B1A6A">
        <w:rPr>
          <w:b/>
          <w:bCs/>
        </w:rPr>
        <w:t xml:space="preserve">to account for </w:t>
      </w:r>
      <w:r w:rsidR="00445A40">
        <w:rPr>
          <w:b/>
          <w:bCs/>
        </w:rPr>
        <w:t xml:space="preserve">possible delta in interference resulting from </w:t>
      </w:r>
      <w:r w:rsidR="00C0747D">
        <w:rPr>
          <w:b/>
          <w:bCs/>
        </w:rPr>
        <w:t>higher UE maximum output power</w:t>
      </w:r>
      <w:r w:rsidR="002B7498">
        <w:rPr>
          <w:b/>
          <w:bCs/>
        </w:rPr>
        <w:t xml:space="preserve"> compared to 23 dBm</w:t>
      </w:r>
      <w:r w:rsidR="00445A40">
        <w:rPr>
          <w:b/>
          <w:bCs/>
        </w:rPr>
        <w:t xml:space="preserve">, </w:t>
      </w:r>
      <w:r w:rsidR="00C04E20">
        <w:rPr>
          <w:b/>
          <w:bCs/>
        </w:rPr>
        <w:t xml:space="preserve">from LTE </w:t>
      </w:r>
      <w:r w:rsidR="00227A51">
        <w:rPr>
          <w:b/>
          <w:bCs/>
        </w:rPr>
        <w:t xml:space="preserve">studies (TR 36.884) </w:t>
      </w:r>
      <w:r w:rsidR="009A16C8">
        <w:rPr>
          <w:b/>
          <w:bCs/>
        </w:rPr>
        <w:t>to account for high UE power classes (e.g., PC2 or PC1)</w:t>
      </w:r>
      <w:r w:rsidR="007D1558">
        <w:rPr>
          <w:b/>
          <w:bCs/>
        </w:rPr>
        <w:t xml:space="preserve"> when deriving the </w:t>
      </w:r>
      <w:r w:rsidR="007D1558" w:rsidRPr="001E4DFB">
        <w:rPr>
          <w:b/>
          <w:bCs/>
        </w:rPr>
        <w:t>BS demodulation requirement</w:t>
      </w:r>
      <w:bookmarkEnd w:id="2"/>
      <w:r w:rsidR="007D1558">
        <w:rPr>
          <w:b/>
          <w:bCs/>
        </w:rPr>
        <w:t>.</w:t>
      </w:r>
    </w:p>
    <w:p w14:paraId="78026D68" w14:textId="64F5FF4E" w:rsidR="00CD04F2" w:rsidRDefault="00CD04F2">
      <w:pPr>
        <w:pStyle w:val="Heading2"/>
      </w:pPr>
      <w:r>
        <w:t>2.2</w:t>
      </w:r>
      <w:r>
        <w:tab/>
      </w:r>
      <w:r w:rsidR="00FD6C11">
        <w:t xml:space="preserve">Test parameters and </w:t>
      </w:r>
      <w:r w:rsidR="00BA1599">
        <w:t>simulation assumptions</w:t>
      </w:r>
      <w:r w:rsidR="00CA01C8">
        <w:t xml:space="preserve"> </w:t>
      </w:r>
    </w:p>
    <w:p w14:paraId="3E11733B" w14:textId="255A3F2C" w:rsidR="00D55906" w:rsidRDefault="009A07CB" w:rsidP="009A07CB">
      <w:pPr>
        <w:rPr>
          <w:b/>
          <w:u w:val="single"/>
        </w:rPr>
      </w:pPr>
      <w:r w:rsidRPr="00297414">
        <w:rPr>
          <w:b/>
          <w:u w:val="single"/>
        </w:rPr>
        <w:t>Test scope</w:t>
      </w:r>
    </w:p>
    <w:p w14:paraId="7D68A8B7" w14:textId="23D49C00" w:rsidR="002D10A8" w:rsidRDefault="00F61DDF" w:rsidP="002D10A8">
      <w:pPr>
        <w:rPr>
          <w:bCs/>
        </w:rPr>
      </w:pPr>
      <w:r>
        <w:rPr>
          <w:bCs/>
        </w:rPr>
        <w:t>From the tentative discussion captured in [2], i</w:t>
      </w:r>
      <w:r w:rsidR="00D55906">
        <w:rPr>
          <w:bCs/>
        </w:rPr>
        <w:t xml:space="preserve">n our view, it is </w:t>
      </w:r>
      <w:r w:rsidR="00E971E3">
        <w:rPr>
          <w:bCs/>
        </w:rPr>
        <w:t>viable for RAN4 to adopt the below SCS and TDD patterns as a starting point for the normative work</w:t>
      </w:r>
      <w:r w:rsidR="002D10A8">
        <w:rPr>
          <w:bCs/>
        </w:rPr>
        <w:t>.</w:t>
      </w:r>
    </w:p>
    <w:p w14:paraId="73D7EEA3" w14:textId="77777777" w:rsidR="002D10A8" w:rsidRPr="002D10A8" w:rsidRDefault="009A07CB" w:rsidP="00F61DDF">
      <w:pPr>
        <w:pStyle w:val="ListParagraph"/>
        <w:numPr>
          <w:ilvl w:val="0"/>
          <w:numId w:val="14"/>
        </w:numPr>
        <w:spacing w:after="0"/>
        <w:rPr>
          <w:bCs/>
          <w:lang w:eastAsia="ko-KR"/>
        </w:rPr>
      </w:pPr>
      <w:r w:rsidRPr="00297414">
        <w:rPr>
          <w:lang w:eastAsia="zh-CN"/>
        </w:rPr>
        <w:t>15kHz SCS FDD and TDD with pattern 3D1S1U, S=10D:2G:2U</w:t>
      </w:r>
    </w:p>
    <w:p w14:paraId="758B3AE8" w14:textId="27890D98" w:rsidR="002D10A8" w:rsidRPr="002D10A8" w:rsidRDefault="009A07CB" w:rsidP="00F61DDF">
      <w:pPr>
        <w:pStyle w:val="ListParagraph"/>
        <w:numPr>
          <w:ilvl w:val="0"/>
          <w:numId w:val="14"/>
        </w:numPr>
        <w:spacing w:after="0"/>
        <w:rPr>
          <w:bCs/>
          <w:lang w:eastAsia="ko-KR"/>
        </w:rPr>
      </w:pPr>
      <w:r w:rsidRPr="00297414">
        <w:rPr>
          <w:lang w:eastAsia="zh-CN"/>
        </w:rPr>
        <w:lastRenderedPageBreak/>
        <w:t>30 kHz SCS TDD with pattern 7D1S2U, S=6D:4G:4U</w:t>
      </w:r>
    </w:p>
    <w:p w14:paraId="2E717E46" w14:textId="41DB3848" w:rsidR="00F61DDF" w:rsidRPr="00F61DDF" w:rsidRDefault="00F61DDF" w:rsidP="00F61DDF">
      <w:pPr>
        <w:spacing w:after="0"/>
        <w:rPr>
          <w:b/>
        </w:rPr>
      </w:pPr>
      <w:r>
        <w:rPr>
          <w:b/>
          <w:u w:val="single"/>
        </w:rPr>
        <w:t>Proposal 4:</w:t>
      </w:r>
      <w:r w:rsidRPr="00F61DDF">
        <w:rPr>
          <w:b/>
        </w:rPr>
        <w:t xml:space="preserve"> RAN4 to adopt the below SCS and TDD patterns as a starting point for the normative work.</w:t>
      </w:r>
    </w:p>
    <w:p w14:paraId="530607D7" w14:textId="77777777" w:rsidR="00F61DDF" w:rsidRPr="00F61DDF" w:rsidRDefault="00F61DDF" w:rsidP="00F61DDF">
      <w:pPr>
        <w:pStyle w:val="ListParagraph"/>
        <w:numPr>
          <w:ilvl w:val="2"/>
          <w:numId w:val="14"/>
        </w:numPr>
        <w:spacing w:after="0"/>
        <w:rPr>
          <w:b/>
          <w:lang w:eastAsia="ko-KR"/>
        </w:rPr>
      </w:pPr>
      <w:r w:rsidRPr="00F61DDF">
        <w:rPr>
          <w:b/>
          <w:lang w:eastAsia="zh-CN"/>
        </w:rPr>
        <w:t>15kHz SCS FDD and TDD with pattern 3D1S1U, S=10D:2G:2U</w:t>
      </w:r>
    </w:p>
    <w:p w14:paraId="1A834F7F" w14:textId="31E444CF" w:rsidR="00F61DDF" w:rsidRDefault="00F61DDF" w:rsidP="00F61DDF">
      <w:pPr>
        <w:pStyle w:val="ListParagraph"/>
        <w:numPr>
          <w:ilvl w:val="2"/>
          <w:numId w:val="14"/>
        </w:numPr>
        <w:spacing w:after="0"/>
        <w:rPr>
          <w:b/>
          <w:lang w:eastAsia="ko-KR"/>
        </w:rPr>
      </w:pPr>
      <w:r w:rsidRPr="00F61DDF">
        <w:rPr>
          <w:b/>
          <w:lang w:eastAsia="zh-CN"/>
        </w:rPr>
        <w:t>30 kHz SCS TDD with pattern 7D1S2U, S=6D:4G:4U</w:t>
      </w:r>
    </w:p>
    <w:p w14:paraId="7F0EB3A2" w14:textId="77777777" w:rsidR="00F61DDF" w:rsidRPr="00F61DDF" w:rsidRDefault="00F61DDF" w:rsidP="00F61DDF">
      <w:pPr>
        <w:pStyle w:val="ListParagraph"/>
        <w:spacing w:after="0"/>
        <w:ind w:left="693"/>
        <w:rPr>
          <w:b/>
          <w:lang w:eastAsia="ko-KR"/>
        </w:rPr>
      </w:pPr>
    </w:p>
    <w:p w14:paraId="7A0DE36D" w14:textId="4B44692A" w:rsidR="00F61DDF" w:rsidRPr="00297414" w:rsidRDefault="00F61DDF" w:rsidP="00F61DDF">
      <w:pPr>
        <w:rPr>
          <w:b/>
          <w:u w:val="single"/>
        </w:rPr>
      </w:pPr>
      <w:r w:rsidRPr="00297414">
        <w:rPr>
          <w:b/>
          <w:u w:val="single"/>
        </w:rPr>
        <w:t>Channel bandwidth</w:t>
      </w:r>
    </w:p>
    <w:p w14:paraId="2523C098" w14:textId="595DB295" w:rsidR="0027138A" w:rsidRDefault="00E97841" w:rsidP="0027138A">
      <w:pPr>
        <w:snapToGrid w:val="0"/>
        <w:spacing w:before="60" w:after="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TS 36.104, BS with advanced receiver requirements were provided for </w:t>
      </w:r>
      <w:proofErr w:type="gramStart"/>
      <w:r>
        <w:rPr>
          <w:rFonts w:eastAsia="SimSun"/>
          <w:lang w:eastAsia="zh-CN"/>
        </w:rPr>
        <w:t>a number of</w:t>
      </w:r>
      <w:proofErr w:type="gramEnd"/>
      <w:r>
        <w:rPr>
          <w:rFonts w:eastAsia="SimSun"/>
          <w:lang w:eastAsia="zh-CN"/>
        </w:rPr>
        <w:t xml:space="preserve"> channel bandwidths (1.4MHz till 20MHz). Thus, for Rel-19, </w:t>
      </w:r>
      <w:proofErr w:type="gramStart"/>
      <w:r>
        <w:rPr>
          <w:rFonts w:eastAsia="SimSun"/>
          <w:lang w:eastAsia="zh-CN"/>
        </w:rPr>
        <w:t>i</w:t>
      </w:r>
      <w:r w:rsidR="0027138A">
        <w:rPr>
          <w:rFonts w:eastAsia="SimSun"/>
          <w:lang w:eastAsia="zh-CN"/>
        </w:rPr>
        <w:t>n order to</w:t>
      </w:r>
      <w:proofErr w:type="gramEnd"/>
      <w:r w:rsidR="0027138A">
        <w:rPr>
          <w:rFonts w:eastAsia="SimSun"/>
          <w:lang w:eastAsia="zh-CN"/>
        </w:rPr>
        <w:t xml:space="preserve"> ensure that sufficient cases are covered</w:t>
      </w:r>
      <w:r w:rsidR="00D25364">
        <w:rPr>
          <w:rFonts w:eastAsia="SimSun"/>
          <w:lang w:eastAsia="zh-CN"/>
        </w:rPr>
        <w:t xml:space="preserve">, it is proposed to consider minimum and maximum channel bandwidth for each SCS. </w:t>
      </w:r>
    </w:p>
    <w:p w14:paraId="105CA738" w14:textId="3D658589" w:rsidR="002D10A8" w:rsidRPr="00E97841" w:rsidRDefault="00E97841" w:rsidP="00E97841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b/>
          <w:bCs/>
          <w:lang w:eastAsia="zh-CN"/>
        </w:rPr>
      </w:pPr>
      <w:r w:rsidRPr="00CF7360">
        <w:rPr>
          <w:rFonts w:eastAsia="SimSun"/>
          <w:b/>
          <w:bCs/>
          <w:u w:val="single"/>
          <w:lang w:eastAsia="zh-CN"/>
        </w:rPr>
        <w:t>Proposal 5</w:t>
      </w:r>
      <w:r w:rsidRPr="00E97841">
        <w:rPr>
          <w:rFonts w:eastAsia="SimSun"/>
          <w:b/>
          <w:bCs/>
          <w:lang w:eastAsia="zh-CN"/>
        </w:rPr>
        <w:t xml:space="preserve">: RAN4 to consider </w:t>
      </w:r>
      <w:r w:rsidRPr="00E97841">
        <w:rPr>
          <w:b/>
          <w:bCs/>
          <w:lang w:eastAsia="zh-CN"/>
        </w:rPr>
        <w:t>Minimum/Maximum channel bandwidth for each SCS, i.e., 5/50MHz for 15kHz SCS and 10/100MHz for 30kHz</w:t>
      </w:r>
      <w:r>
        <w:rPr>
          <w:b/>
          <w:bCs/>
          <w:lang w:eastAsia="zh-CN"/>
        </w:rPr>
        <w:t>.</w:t>
      </w:r>
    </w:p>
    <w:p w14:paraId="666D5A4A" w14:textId="651805C8" w:rsidR="009A07CB" w:rsidRPr="009A07CB" w:rsidRDefault="009A07CB" w:rsidP="00A21326">
      <w:pPr>
        <w:rPr>
          <w:b/>
          <w:bCs/>
          <w:u w:val="single"/>
        </w:rPr>
      </w:pPr>
      <w:r w:rsidRPr="009A07CB">
        <w:rPr>
          <w:b/>
          <w:bCs/>
          <w:u w:val="single"/>
        </w:rPr>
        <w:t>Antenna Configuration</w:t>
      </w:r>
    </w:p>
    <w:p w14:paraId="0B04AA3E" w14:textId="1FF3C8DC" w:rsidR="00A21326" w:rsidRDefault="00A21326" w:rsidP="00A21326">
      <w:r>
        <w:t>During LTE study, the performance gain between baseline (i.e., MMSE) and advanced (i.e., MMSE IRC) was marginal, thus, it was agreed to consider</w:t>
      </w:r>
      <w:r w:rsidRPr="00475654">
        <w:t xml:space="preserve"> only </w:t>
      </w:r>
      <w:r>
        <w:t>one</w:t>
      </w:r>
      <w:r w:rsidRPr="00475654">
        <w:t xml:space="preserve"> explicit interferer for 2Rx cases</w:t>
      </w:r>
      <w:r>
        <w:t xml:space="preserve">. However, two </w:t>
      </w:r>
      <w:r w:rsidRPr="00475654">
        <w:t>explicit interferers are for 4Rx and 8Rx cases</w:t>
      </w:r>
      <w:r>
        <w:t>. For the Rel-19 WI, a further distinction can be made between FDD and TDD scenarios:</w:t>
      </w:r>
    </w:p>
    <w:p w14:paraId="4D03BCB4" w14:textId="6025ADF6" w:rsidR="00A21326" w:rsidRDefault="00A21326" w:rsidP="00A21326">
      <w:pPr>
        <w:pStyle w:val="ListParagraph"/>
        <w:numPr>
          <w:ilvl w:val="0"/>
          <w:numId w:val="9"/>
        </w:numPr>
      </w:pPr>
      <w:r>
        <w:t xml:space="preserve">For FDD scenarios, it is recommended that first RAN4 identify the gains of MMSE IRC receiver considering two interferences </w:t>
      </w:r>
      <w:r w:rsidR="008A64D0">
        <w:t>as a starting point for</w:t>
      </w:r>
      <w:r>
        <w:t xml:space="preserve"> 4Rx and 8Rx cases. The rationale is that 2Rx scenarios for NR </w:t>
      </w:r>
      <w:r w:rsidR="00D14256">
        <w:t>BS</w:t>
      </w:r>
      <w:r>
        <w:t xml:space="preserve">s might not be foreseeable. </w:t>
      </w:r>
    </w:p>
    <w:p w14:paraId="236B175D" w14:textId="59A818EE" w:rsidR="00A21326" w:rsidRDefault="00852BD0" w:rsidP="00A21326">
      <w:pPr>
        <w:pStyle w:val="ListParagraph"/>
        <w:numPr>
          <w:ilvl w:val="0"/>
          <w:numId w:val="9"/>
        </w:numPr>
      </w:pPr>
      <w:r>
        <w:t>Similarly,</w:t>
      </w:r>
      <w:r w:rsidR="00A21326">
        <w:t xml:space="preserve"> for TDD, given that UEs are required to have 4RX capability is several deployment bands, it seems unrealistic use case to consider 2RX </w:t>
      </w:r>
      <w:r w:rsidR="00D14256">
        <w:t>BS</w:t>
      </w:r>
      <w:r w:rsidR="00A21326">
        <w:t xml:space="preserve">s, focus should be on 4RX and 8 RX cases </w:t>
      </w:r>
    </w:p>
    <w:p w14:paraId="5E6C19AF" w14:textId="2E8D7720" w:rsidR="00A21326" w:rsidRDefault="00A21326" w:rsidP="00A21326">
      <w:pPr>
        <w:rPr>
          <w:b/>
          <w:bCs/>
        </w:rPr>
      </w:pPr>
      <w:r w:rsidRPr="006A0C44">
        <w:rPr>
          <w:b/>
          <w:bCs/>
          <w:u w:val="single"/>
        </w:rPr>
        <w:t xml:space="preserve">Proposal </w:t>
      </w:r>
      <w:r w:rsidR="00CF7360">
        <w:rPr>
          <w:b/>
          <w:bCs/>
          <w:u w:val="single"/>
        </w:rPr>
        <w:t>6</w:t>
      </w:r>
      <w:r w:rsidRPr="006A0C44">
        <w:rPr>
          <w:b/>
          <w:bCs/>
        </w:rPr>
        <w:t xml:space="preserve">: RAN4 to consider </w:t>
      </w:r>
      <w:r>
        <w:rPr>
          <w:b/>
          <w:bCs/>
        </w:rPr>
        <w:t xml:space="preserve">only 4RX and 8RX </w:t>
      </w:r>
      <w:r w:rsidR="00D14256">
        <w:rPr>
          <w:b/>
          <w:bCs/>
        </w:rPr>
        <w:t>BS</w:t>
      </w:r>
      <w:r>
        <w:rPr>
          <w:b/>
          <w:bCs/>
        </w:rPr>
        <w:t xml:space="preserve"> </w:t>
      </w:r>
      <w:r w:rsidRPr="006A3905">
        <w:rPr>
          <w:b/>
          <w:bCs/>
        </w:rPr>
        <w:t>for TDD and FDD scenarios</w:t>
      </w:r>
      <w:r w:rsidR="008A64D0">
        <w:rPr>
          <w:b/>
          <w:bCs/>
        </w:rPr>
        <w:t xml:space="preserve"> as 2Rx for NR </w:t>
      </w:r>
      <w:r w:rsidR="00D14256">
        <w:rPr>
          <w:b/>
          <w:bCs/>
        </w:rPr>
        <w:t>BS</w:t>
      </w:r>
      <w:r w:rsidR="008A64D0">
        <w:rPr>
          <w:b/>
          <w:bCs/>
        </w:rPr>
        <w:t xml:space="preserve">s </w:t>
      </w:r>
      <w:r w:rsidR="00AB3A71">
        <w:rPr>
          <w:b/>
          <w:bCs/>
        </w:rPr>
        <w:t xml:space="preserve">might not be foreseeable. </w:t>
      </w:r>
    </w:p>
    <w:p w14:paraId="678F3847" w14:textId="6CF68E9B" w:rsidR="00AE3E07" w:rsidRDefault="00AE3E07" w:rsidP="00A21326">
      <w:r w:rsidRPr="00EB0E14">
        <w:t xml:space="preserve">In addition to </w:t>
      </w:r>
      <w:r w:rsidR="003D7C3F" w:rsidRPr="00EB0E14">
        <w:t xml:space="preserve">considering 8Rx as maximum number of </w:t>
      </w:r>
      <w:r w:rsidR="00980F08" w:rsidRPr="00EB0E14">
        <w:t xml:space="preserve">receivers for TDD and FDD </w:t>
      </w:r>
      <w:r w:rsidR="00D14256">
        <w:t>BS</w:t>
      </w:r>
      <w:r w:rsidR="00980F08" w:rsidRPr="00EB0E14">
        <w:t>, it is viable also to consider higher than 8</w:t>
      </w:r>
      <w:r w:rsidR="00EB0E14" w:rsidRPr="00EB0E14">
        <w:t>Rx to address massive MIMO deployments</w:t>
      </w:r>
      <w:r w:rsidR="00EB0E14">
        <w:t xml:space="preserve">, which are considered </w:t>
      </w:r>
      <w:r w:rsidR="00051760">
        <w:t>f</w:t>
      </w:r>
      <w:r w:rsidR="00EB0E14">
        <w:t xml:space="preserve">or 5G deployments. </w:t>
      </w:r>
      <w:r w:rsidR="009F3EB1">
        <w:t xml:space="preserve">As </w:t>
      </w:r>
      <w:r w:rsidR="00D14256">
        <w:t>BS</w:t>
      </w:r>
      <w:r w:rsidR="009F3EB1">
        <w:t xml:space="preserve"> demodulation requirements are typically capped at 8Rx, it would be desirable to understand the feasibility from RAN4 point of view to study more than 8Rx demod requirements. </w:t>
      </w:r>
    </w:p>
    <w:p w14:paraId="5BCA8C0F" w14:textId="10BC63E0" w:rsidR="00C51557" w:rsidRPr="00534E40" w:rsidRDefault="00C51557" w:rsidP="00A21326">
      <w:pPr>
        <w:rPr>
          <w:b/>
          <w:bCs/>
        </w:rPr>
      </w:pPr>
      <w:r w:rsidRPr="00534E40">
        <w:rPr>
          <w:b/>
          <w:bCs/>
          <w:u w:val="single"/>
        </w:rPr>
        <w:t>Proposal 7</w:t>
      </w:r>
      <w:r w:rsidRPr="00534E40">
        <w:rPr>
          <w:b/>
          <w:bCs/>
        </w:rPr>
        <w:t>: RAN4 to study the feasibility of considering higher than 8Rx scenarios</w:t>
      </w:r>
      <w:r w:rsidR="00534E40" w:rsidRPr="00534E40">
        <w:rPr>
          <w:b/>
          <w:bCs/>
        </w:rPr>
        <w:t xml:space="preserve"> when defining the BS demodulation requirements. </w:t>
      </w:r>
      <w:r w:rsidRPr="00534E40">
        <w:rPr>
          <w:b/>
          <w:bCs/>
        </w:rPr>
        <w:t xml:space="preserve"> </w:t>
      </w:r>
    </w:p>
    <w:p w14:paraId="507919BF" w14:textId="77777777" w:rsidR="00DA167D" w:rsidRDefault="00DA167D" w:rsidP="00DA167D">
      <w:pPr>
        <w:rPr>
          <w:b/>
          <w:u w:val="single"/>
        </w:rPr>
      </w:pPr>
      <w:r w:rsidRPr="00297414">
        <w:rPr>
          <w:b/>
          <w:u w:val="single"/>
        </w:rPr>
        <w:t>Propagation condition</w:t>
      </w:r>
    </w:p>
    <w:p w14:paraId="6EC072CC" w14:textId="612CF807" w:rsidR="003A7F3D" w:rsidRDefault="00FF4684" w:rsidP="00FF4684">
      <w:r>
        <w:t xml:space="preserve">In terms of multi-path fading propagation conditions, </w:t>
      </w:r>
      <w:r w:rsidR="00AB3A71">
        <w:t xml:space="preserve">LTE </w:t>
      </w:r>
      <w:r w:rsidR="00DC7611">
        <w:t xml:space="preserve">study </w:t>
      </w:r>
      <w:r>
        <w:t xml:space="preserve">[2] considered </w:t>
      </w:r>
      <w:r w:rsidRPr="003F47E7">
        <w:t>ETU channel with high delay spread for the interferers</w:t>
      </w:r>
      <w:r>
        <w:t xml:space="preserve"> and E</w:t>
      </w:r>
      <w:r w:rsidRPr="003F47E7">
        <w:t>PA5 and EVA70</w:t>
      </w:r>
      <w:r>
        <w:t xml:space="preserve"> were chosen for the serving channel while</w:t>
      </w:r>
      <w:r w:rsidRPr="003F47E7">
        <w:t xml:space="preserve">, ETU5 and ETU70 </w:t>
      </w:r>
      <w:r>
        <w:t>were considered for the</w:t>
      </w:r>
      <w:r w:rsidRPr="003F47E7">
        <w:t xml:space="preserve"> interfering </w:t>
      </w:r>
      <w:r>
        <w:t xml:space="preserve">channel. </w:t>
      </w:r>
      <w:r w:rsidR="00417DE4">
        <w:t xml:space="preserve">Since different channel model for serving and interfering UEs was assumed and based on initial discussions within RAN4 in [2], </w:t>
      </w:r>
      <w:r w:rsidR="00672420">
        <w:t>we consider the same assumption in this work item (i.e., different channel model for serving and interfering UEs). Additionally</w:t>
      </w:r>
      <w:r w:rsidR="00D14256">
        <w:t>, in [3], different channel models</w:t>
      </w:r>
      <w:r w:rsidR="00D14256" w:rsidRPr="00D14256">
        <w:t xml:space="preserve"> for </w:t>
      </w:r>
      <w:r w:rsidR="00D14256">
        <w:t>homogenous and heterogeneous</w:t>
      </w:r>
      <w:r w:rsidR="00D14256" w:rsidRPr="00D14256">
        <w:t xml:space="preserve"> deployment</w:t>
      </w:r>
      <w:r w:rsidR="003A7F3D">
        <w:t xml:space="preserve">s were assumed, </w:t>
      </w:r>
      <w:r w:rsidR="00D14256" w:rsidRPr="00D14256">
        <w:t xml:space="preserve">such that low Doppler models </w:t>
      </w:r>
      <w:r w:rsidR="003A7F3D">
        <w:t xml:space="preserve">were adopted </w:t>
      </w:r>
      <w:r w:rsidR="00D14256" w:rsidRPr="00D14256">
        <w:t xml:space="preserve">for heterogenous (EPA5 and ETU5) and high Doppler models for homogenous (EVA70 and ETU70) due to </w:t>
      </w:r>
      <w:r w:rsidR="003A7F3D">
        <w:t xml:space="preserve">anticipated </w:t>
      </w:r>
      <w:r w:rsidR="00D14256" w:rsidRPr="00D14256">
        <w:t>different cell ranges and typical UE speed</w:t>
      </w:r>
      <w:r w:rsidR="003A7F3D">
        <w:t>.</w:t>
      </w:r>
    </w:p>
    <w:p w14:paraId="3852871D" w14:textId="4BAD07F2" w:rsidR="003A7F3D" w:rsidRPr="003A7F3D" w:rsidRDefault="003A7F3D" w:rsidP="00FF4684">
      <w:pPr>
        <w:rPr>
          <w:b/>
          <w:bCs/>
        </w:rPr>
      </w:pPr>
      <w:r w:rsidRPr="003A7F3D">
        <w:rPr>
          <w:b/>
          <w:bCs/>
          <w:u w:val="single"/>
        </w:rPr>
        <w:t>Observation 1</w:t>
      </w:r>
      <w:r w:rsidRPr="003A7F3D">
        <w:rPr>
          <w:b/>
          <w:bCs/>
        </w:rPr>
        <w:t xml:space="preserve">: In LTE work, different channel model was assumed for serving and interfering links as well as between homogenous and heterogeneous deployments. </w:t>
      </w:r>
    </w:p>
    <w:p w14:paraId="660069C2" w14:textId="1B7D7DDF" w:rsidR="00FF4684" w:rsidRDefault="00FF4684" w:rsidP="00FF4684">
      <w:pPr>
        <w:rPr>
          <w:lang w:eastAsia="zh-CN"/>
        </w:rPr>
      </w:pPr>
      <w:r>
        <w:t xml:space="preserve">For Rel-19, it is expected that RAN4 would choose an appropriate propagation conditions that is realistic compared to the envisioned use cases and scenarios. </w:t>
      </w:r>
      <w:r w:rsidR="003F1807">
        <w:t xml:space="preserve">Accordingly, it is proposed to select </w:t>
      </w:r>
      <w:r w:rsidR="00AA1968">
        <w:t xml:space="preserve">among </w:t>
      </w:r>
      <w:r w:rsidR="003F1807">
        <w:rPr>
          <w:lang w:eastAsia="zh-CN"/>
        </w:rPr>
        <w:t xml:space="preserve">legacy TDLA30, TDLB100, </w:t>
      </w:r>
      <w:r w:rsidR="00AA1968">
        <w:rPr>
          <w:lang w:eastAsia="zh-CN"/>
        </w:rPr>
        <w:t xml:space="preserve">and </w:t>
      </w:r>
      <w:r w:rsidR="003F1807">
        <w:rPr>
          <w:lang w:eastAsia="zh-CN"/>
        </w:rPr>
        <w:t xml:space="preserve">TDLC300 </w:t>
      </w:r>
      <w:r w:rsidR="00AA1968">
        <w:rPr>
          <w:lang w:eastAsia="zh-CN"/>
        </w:rPr>
        <w:t xml:space="preserve">conditions. </w:t>
      </w:r>
      <w:r w:rsidR="00361BD3">
        <w:rPr>
          <w:lang w:eastAsia="zh-CN"/>
        </w:rPr>
        <w:t xml:space="preserve">Specifically, we propose to adopt </w:t>
      </w:r>
      <w:r w:rsidR="00361BD3" w:rsidRPr="00B669D2">
        <w:t xml:space="preserve">TDLA30-10 </w:t>
      </w:r>
      <w:r w:rsidR="00361BD3">
        <w:t>(</w:t>
      </w:r>
      <w:r w:rsidR="00361BD3" w:rsidRPr="00B669D2">
        <w:t>TDLB100-100</w:t>
      </w:r>
      <w:r w:rsidR="00361BD3">
        <w:t>) f</w:t>
      </w:r>
      <w:r w:rsidR="00B669D2" w:rsidRPr="00B669D2">
        <w:t>or the serving PUSCH</w:t>
      </w:r>
      <w:r w:rsidR="00361BD3">
        <w:t xml:space="preserve"> for HetNet (HomNet) while for</w:t>
      </w:r>
      <w:r w:rsidR="00B669D2" w:rsidRPr="00B669D2">
        <w:t xml:space="preserve"> the interference PUSCH, use TDLC300-100</w:t>
      </w:r>
      <w:r w:rsidR="00361BD3">
        <w:t>.</w:t>
      </w:r>
    </w:p>
    <w:p w14:paraId="1C88334D" w14:textId="720779EB" w:rsidR="00DA167D" w:rsidRPr="00CF7360" w:rsidRDefault="00B27851" w:rsidP="00CF7360">
      <w:pPr>
        <w:rPr>
          <w:b/>
        </w:rPr>
      </w:pPr>
      <w:r>
        <w:rPr>
          <w:b/>
          <w:u w:val="single"/>
        </w:rPr>
        <w:t xml:space="preserve">Proposal </w:t>
      </w:r>
      <w:r w:rsidR="00534E40">
        <w:rPr>
          <w:b/>
          <w:u w:val="single"/>
        </w:rPr>
        <w:t>8</w:t>
      </w:r>
      <w:r w:rsidRPr="00B27851">
        <w:rPr>
          <w:b/>
        </w:rPr>
        <w:t xml:space="preserve">: RAN4 to </w:t>
      </w:r>
      <w:r w:rsidRPr="00B27851">
        <w:rPr>
          <w:b/>
          <w:lang w:eastAsia="zh-CN"/>
        </w:rPr>
        <w:t xml:space="preserve">adopt </w:t>
      </w:r>
      <w:r w:rsidRPr="00B27851">
        <w:rPr>
          <w:b/>
        </w:rPr>
        <w:t>TDLA30-10 (TDLB100-100) for the serving PUSCH for HetNet (HomNet) while for the interference PUSCH, use TDLC300-100</w:t>
      </w:r>
      <w:r>
        <w:rPr>
          <w:b/>
        </w:rPr>
        <w:t>.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2FE34942" w:rsidR="00993E9B" w:rsidRDefault="00F70389" w:rsidP="00823087">
      <w:pPr>
        <w:jc w:val="both"/>
      </w:pPr>
      <w:r>
        <w:t>In this contribution we provide our views on the impact of multi-user spatial beamforming techniques on the system level simulation</w:t>
      </w:r>
      <w:r w:rsidR="00866F86">
        <w:t>.</w:t>
      </w:r>
      <w:r w:rsidR="004A75F9">
        <w:t xml:space="preserve"> Our observations and proposals can be summarized for that frequency range as follows:</w:t>
      </w:r>
    </w:p>
    <w:p w14:paraId="18DD719E" w14:textId="77777777" w:rsidR="00CF7360" w:rsidRDefault="00CF7360" w:rsidP="00CF7360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rPr>
          <w:rFonts w:cs="Arial"/>
          <w:b/>
          <w:bCs/>
          <w:color w:val="000000"/>
        </w:rPr>
      </w:pPr>
      <w:r w:rsidRPr="00F737C7">
        <w:rPr>
          <w:b/>
          <w:bCs/>
          <w:u w:val="single"/>
          <w:lang w:eastAsia="zh-CN"/>
        </w:rPr>
        <w:t>Proposal 1</w:t>
      </w:r>
      <w:r w:rsidRPr="00F737C7">
        <w:rPr>
          <w:b/>
          <w:bCs/>
          <w:lang w:eastAsia="zh-CN"/>
        </w:rPr>
        <w:t>: RAN4 to consider Cover HomNet and HetNet scenarios, i.e., DIP set1 and set2</w:t>
      </w:r>
      <w:r w:rsidRPr="00F737C7">
        <w:rPr>
          <w:rFonts w:cs="Arial"/>
          <w:b/>
          <w:bCs/>
          <w:color w:val="000000"/>
        </w:rPr>
        <w:t xml:space="preserve"> in TS36.104, </w:t>
      </w:r>
      <w:r w:rsidRPr="00F737C7">
        <w:rPr>
          <w:rFonts w:cs="Arial"/>
          <w:b/>
          <w:bCs/>
          <w:color w:val="000000"/>
        </w:rPr>
        <w:lastRenderedPageBreak/>
        <w:t xml:space="preserve">assuming synchronous deployments as a starting point for the Rel-19 WI phase. </w:t>
      </w:r>
    </w:p>
    <w:p w14:paraId="1BFAE3BF" w14:textId="77777777" w:rsidR="00CF7360" w:rsidRDefault="00CF7360" w:rsidP="00CF7360">
      <w:pPr>
        <w:rPr>
          <w:b/>
          <w:bCs/>
          <w:lang w:eastAsia="zh-CN"/>
        </w:rPr>
      </w:pPr>
      <w:r w:rsidRPr="000A7B2E">
        <w:rPr>
          <w:b/>
          <w:bCs/>
          <w:u w:val="single"/>
          <w:lang w:eastAsia="zh-CN"/>
        </w:rPr>
        <w:t>Proposal 2</w:t>
      </w:r>
      <w:r w:rsidRPr="000A7B2E">
        <w:rPr>
          <w:b/>
          <w:bCs/>
          <w:lang w:eastAsia="zh-CN"/>
        </w:rPr>
        <w:t xml:space="preserve">: Although INR and DIP interference modelling can be expressed by one another, it is proposed for RAN4 to adopt the INR interference model when defining the demodulation requirements for Rel-19 BS with MMSE-IRC receiver. </w:t>
      </w:r>
    </w:p>
    <w:p w14:paraId="7B68FDB1" w14:textId="77777777" w:rsidR="00CF7360" w:rsidRPr="007D1558" w:rsidRDefault="00CF7360" w:rsidP="00CF7360">
      <w:pPr>
        <w:rPr>
          <w:b/>
          <w:bCs/>
          <w:i/>
          <w:iCs/>
        </w:rPr>
      </w:pPr>
      <w:r w:rsidRPr="007D1558">
        <w:rPr>
          <w:b/>
          <w:bCs/>
          <w:u w:val="single"/>
        </w:rPr>
        <w:t>Proposal 3</w:t>
      </w:r>
      <w:r w:rsidRPr="001E4DFB">
        <w:rPr>
          <w:rFonts w:hint="eastAsia"/>
          <w:b/>
          <w:bCs/>
        </w:rPr>
        <w:t xml:space="preserve">: </w:t>
      </w:r>
      <w:r>
        <w:rPr>
          <w:b/>
          <w:bCs/>
        </w:rPr>
        <w:t xml:space="preserve">RAN4 to adjust INR/DIP values (e.g., scaling INR/DIP by additional 3 or 7 dB) from LTE studies (TR 36.884) to account for high UE power classes (e.g., PC2 or PC1) when deriving the </w:t>
      </w:r>
      <w:r w:rsidRPr="001E4DFB">
        <w:rPr>
          <w:b/>
          <w:bCs/>
        </w:rPr>
        <w:t>BS demodulation requirement</w:t>
      </w:r>
      <w:r>
        <w:rPr>
          <w:b/>
          <w:bCs/>
        </w:rPr>
        <w:t>.</w:t>
      </w:r>
    </w:p>
    <w:p w14:paraId="70D9A1A7" w14:textId="77777777" w:rsidR="00CF7360" w:rsidRPr="00F61DDF" w:rsidRDefault="00CF7360" w:rsidP="00CF7360">
      <w:pPr>
        <w:spacing w:after="0"/>
        <w:rPr>
          <w:b/>
        </w:rPr>
      </w:pPr>
      <w:r>
        <w:rPr>
          <w:b/>
          <w:u w:val="single"/>
        </w:rPr>
        <w:t>Proposal 4:</w:t>
      </w:r>
      <w:r w:rsidRPr="00F61DDF">
        <w:rPr>
          <w:b/>
        </w:rPr>
        <w:t xml:space="preserve"> RAN4 to adopt the below SCS and TDD patterns as a starting point for the normative work.</w:t>
      </w:r>
    </w:p>
    <w:p w14:paraId="681B8884" w14:textId="77777777" w:rsidR="00CF7360" w:rsidRPr="00F61DDF" w:rsidRDefault="00CF7360" w:rsidP="00CF7360">
      <w:pPr>
        <w:pStyle w:val="ListParagraph"/>
        <w:numPr>
          <w:ilvl w:val="2"/>
          <w:numId w:val="14"/>
        </w:numPr>
        <w:spacing w:after="0"/>
        <w:rPr>
          <w:b/>
          <w:lang w:eastAsia="ko-KR"/>
        </w:rPr>
      </w:pPr>
      <w:r w:rsidRPr="00F61DDF">
        <w:rPr>
          <w:b/>
          <w:lang w:eastAsia="zh-CN"/>
        </w:rPr>
        <w:t>15kHz SCS FDD and TDD with pattern 3D1S1U, S=10D:2G:2U</w:t>
      </w:r>
    </w:p>
    <w:p w14:paraId="03510BBF" w14:textId="77777777" w:rsidR="00CF7360" w:rsidRDefault="00CF7360" w:rsidP="00CF7360">
      <w:pPr>
        <w:pStyle w:val="ListParagraph"/>
        <w:numPr>
          <w:ilvl w:val="2"/>
          <w:numId w:val="14"/>
        </w:numPr>
        <w:spacing w:after="0"/>
        <w:rPr>
          <w:b/>
          <w:lang w:eastAsia="ko-KR"/>
        </w:rPr>
      </w:pPr>
      <w:r w:rsidRPr="00F61DDF">
        <w:rPr>
          <w:b/>
          <w:lang w:eastAsia="zh-CN"/>
        </w:rPr>
        <w:t>30 kHz SCS TDD with pattern 7D1S2U, S=6D:4G:4U</w:t>
      </w:r>
    </w:p>
    <w:p w14:paraId="1C957658" w14:textId="77777777" w:rsidR="00CF7360" w:rsidRDefault="00CF7360" w:rsidP="00CF7360">
      <w:pPr>
        <w:widowControl w:val="0"/>
        <w:tabs>
          <w:tab w:val="left" w:pos="484"/>
          <w:tab w:val="left" w:pos="709"/>
          <w:tab w:val="left" w:pos="1440"/>
        </w:tabs>
        <w:snapToGrid w:val="0"/>
        <w:spacing w:before="60" w:after="60"/>
        <w:rPr>
          <w:b/>
          <w:bCs/>
          <w:lang w:eastAsia="zh-CN"/>
        </w:rPr>
      </w:pPr>
      <w:r w:rsidRPr="00CF7360">
        <w:rPr>
          <w:rFonts w:eastAsia="SimSun"/>
          <w:b/>
          <w:bCs/>
          <w:u w:val="single"/>
          <w:lang w:eastAsia="zh-CN"/>
        </w:rPr>
        <w:t>Proposal 5</w:t>
      </w:r>
      <w:r w:rsidRPr="00CF7360">
        <w:rPr>
          <w:rFonts w:eastAsia="SimSun"/>
          <w:b/>
          <w:bCs/>
          <w:lang w:eastAsia="zh-CN"/>
        </w:rPr>
        <w:t xml:space="preserve">: RAN4 to consider </w:t>
      </w:r>
      <w:r w:rsidRPr="00CF7360">
        <w:rPr>
          <w:b/>
          <w:bCs/>
          <w:lang w:eastAsia="zh-CN"/>
        </w:rPr>
        <w:t>Minimum/Maximum channel bandwidth for each SCS, i.e., 5/50MHz for 15kHz SCS and 10/100MHz for 30kHz.</w:t>
      </w:r>
    </w:p>
    <w:p w14:paraId="25ED4D4D" w14:textId="7B06390D" w:rsidR="00CF7360" w:rsidRDefault="00CF7360" w:rsidP="00CF7360">
      <w:pPr>
        <w:rPr>
          <w:b/>
          <w:bCs/>
        </w:rPr>
      </w:pPr>
      <w:r w:rsidRPr="006A0C4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6</w:t>
      </w:r>
      <w:r w:rsidRPr="006A0C44">
        <w:rPr>
          <w:b/>
          <w:bCs/>
        </w:rPr>
        <w:t xml:space="preserve">: RAN4 to consider </w:t>
      </w:r>
      <w:r>
        <w:rPr>
          <w:b/>
          <w:bCs/>
        </w:rPr>
        <w:t xml:space="preserve">only 4RX and 8RX </w:t>
      </w:r>
      <w:r w:rsidR="00D14256">
        <w:rPr>
          <w:b/>
          <w:bCs/>
        </w:rPr>
        <w:t>BS</w:t>
      </w:r>
      <w:r>
        <w:rPr>
          <w:b/>
          <w:bCs/>
        </w:rPr>
        <w:t xml:space="preserve"> </w:t>
      </w:r>
      <w:r w:rsidRPr="006A3905">
        <w:rPr>
          <w:b/>
          <w:bCs/>
        </w:rPr>
        <w:t>for TDD and FDD scenarios</w:t>
      </w:r>
      <w:r>
        <w:rPr>
          <w:b/>
          <w:bCs/>
        </w:rPr>
        <w:t xml:space="preserve"> as 2Rx for NR </w:t>
      </w:r>
      <w:r w:rsidR="00D14256">
        <w:rPr>
          <w:b/>
          <w:bCs/>
        </w:rPr>
        <w:t>BS</w:t>
      </w:r>
      <w:r>
        <w:rPr>
          <w:b/>
          <w:bCs/>
        </w:rPr>
        <w:t xml:space="preserve">s might not be foreseeable. </w:t>
      </w:r>
    </w:p>
    <w:p w14:paraId="60F9312E" w14:textId="78BAFC8A" w:rsidR="00534E40" w:rsidRDefault="00534E40" w:rsidP="00572364">
      <w:pPr>
        <w:rPr>
          <w:b/>
          <w:bCs/>
        </w:rPr>
      </w:pPr>
      <w:r w:rsidRPr="00534E40">
        <w:rPr>
          <w:b/>
          <w:bCs/>
          <w:u w:val="single"/>
        </w:rPr>
        <w:t>Proposal 7</w:t>
      </w:r>
      <w:r w:rsidRPr="00534E40">
        <w:rPr>
          <w:b/>
          <w:bCs/>
        </w:rPr>
        <w:t xml:space="preserve">: RAN4 to study the feasibility of considering higher than 8Rx scenarios when defining the BS demodulation requirements.  </w:t>
      </w:r>
    </w:p>
    <w:p w14:paraId="24C57092" w14:textId="7A4936A2" w:rsidR="003A7F3D" w:rsidRPr="00534E40" w:rsidRDefault="003A7F3D" w:rsidP="00572364">
      <w:pPr>
        <w:rPr>
          <w:b/>
          <w:bCs/>
        </w:rPr>
      </w:pPr>
      <w:r w:rsidRPr="003A7F3D">
        <w:rPr>
          <w:b/>
          <w:bCs/>
          <w:u w:val="single"/>
        </w:rPr>
        <w:t>Observation 1</w:t>
      </w:r>
      <w:r w:rsidRPr="003A7F3D">
        <w:rPr>
          <w:b/>
          <w:bCs/>
        </w:rPr>
        <w:t xml:space="preserve">: In LTE work, different channel model was assumed for serving and interfering links as well as between homogenous and heterogeneous deployments. </w:t>
      </w:r>
    </w:p>
    <w:p w14:paraId="5C0E0F31" w14:textId="3DC245B6" w:rsidR="00CA01C8" w:rsidRPr="00CF7360" w:rsidRDefault="00CF7360" w:rsidP="00572364">
      <w:pPr>
        <w:rPr>
          <w:b/>
        </w:rPr>
      </w:pPr>
      <w:r>
        <w:rPr>
          <w:b/>
          <w:u w:val="single"/>
        </w:rPr>
        <w:t xml:space="preserve">Proposal </w:t>
      </w:r>
      <w:r w:rsidR="00534E40">
        <w:rPr>
          <w:b/>
          <w:u w:val="single"/>
        </w:rPr>
        <w:t>8</w:t>
      </w:r>
      <w:r w:rsidRPr="00B27851">
        <w:rPr>
          <w:b/>
        </w:rPr>
        <w:t xml:space="preserve">: RAN4 to </w:t>
      </w:r>
      <w:r w:rsidRPr="00B27851">
        <w:rPr>
          <w:b/>
          <w:lang w:eastAsia="zh-CN"/>
        </w:rPr>
        <w:t xml:space="preserve">adopt </w:t>
      </w:r>
      <w:r w:rsidRPr="00B27851">
        <w:rPr>
          <w:b/>
        </w:rPr>
        <w:t>TDLA30-10 (TDLB100-100) for the serving PUSCH for HetNet (HomNet) while for the interference PUSCH, use TDLC300-100</w:t>
      </w:r>
      <w:r>
        <w:rPr>
          <w:b/>
        </w:rPr>
        <w:t>.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7629E616" w14:textId="249FCE12" w:rsidR="00146CA5" w:rsidRDefault="00FE276C" w:rsidP="00FE276C">
      <w:pPr>
        <w:pStyle w:val="B1"/>
        <w:ind w:left="719" w:hanging="435"/>
        <w:jc w:val="both"/>
      </w:pPr>
      <w:r>
        <w:t xml:space="preserve">[2] </w:t>
      </w:r>
      <w:r>
        <w:tab/>
      </w:r>
      <w:r w:rsidR="00146CA5" w:rsidRPr="00146CA5">
        <w:t>R4-2413570</w:t>
      </w:r>
      <w:r w:rsidR="00146CA5">
        <w:t>, “</w:t>
      </w:r>
      <w:r w:rsidR="00007D73" w:rsidRPr="00007D73">
        <w:t>Way Forward for [112][328] NR_demod_Ph5</w:t>
      </w:r>
      <w:r w:rsidR="00007D73">
        <w:t>”</w:t>
      </w:r>
    </w:p>
    <w:p w14:paraId="082D22B5" w14:textId="6EC3CCA1" w:rsidR="00FE276C" w:rsidRDefault="00146CA5" w:rsidP="00FE276C">
      <w:pPr>
        <w:pStyle w:val="B1"/>
        <w:ind w:left="719" w:hanging="435"/>
        <w:jc w:val="both"/>
      </w:pPr>
      <w:r>
        <w:t>[3]</w:t>
      </w:r>
      <w:r>
        <w:tab/>
      </w:r>
      <w:r w:rsidR="00CC3F7E">
        <w:t xml:space="preserve">TR </w:t>
      </w:r>
      <w:r w:rsidR="00CC3F7E" w:rsidRPr="00530A15">
        <w:t>36.884, “Performance requirements of MMSE-IRC receiver for LTE BS”</w:t>
      </w:r>
      <w:r w:rsidR="008611CC" w:rsidRPr="00530A15">
        <w:t xml:space="preserve"> </w:t>
      </w:r>
      <w:r w:rsidR="00530A15" w:rsidRPr="00530A15">
        <w:t>3GPP V</w:t>
      </w:r>
      <w:r w:rsidR="008611CC" w:rsidRPr="00530A15">
        <w:t>13.1.0</w:t>
      </w:r>
    </w:p>
    <w:p w14:paraId="318EFFBC" w14:textId="77777777" w:rsidR="00993E9B" w:rsidRDefault="00993E9B" w:rsidP="00823087">
      <w:pPr>
        <w:pStyle w:val="B1"/>
        <w:ind w:left="0" w:firstLine="0"/>
        <w:jc w:val="both"/>
      </w:pPr>
    </w:p>
    <w:p w14:paraId="5467FF78" w14:textId="77777777" w:rsidR="00993E9B" w:rsidRDefault="00993E9B" w:rsidP="00823087">
      <w:pPr>
        <w:jc w:val="both"/>
      </w:pPr>
    </w:p>
    <w:sectPr w:rsidR="00993E9B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D287E" w14:textId="77777777" w:rsidR="005A2677" w:rsidRDefault="005A2677" w:rsidP="0053201B">
      <w:pPr>
        <w:spacing w:after="0"/>
      </w:pPr>
      <w:r>
        <w:separator/>
      </w:r>
    </w:p>
  </w:endnote>
  <w:endnote w:type="continuationSeparator" w:id="0">
    <w:p w14:paraId="365A4D32" w14:textId="77777777" w:rsidR="005A2677" w:rsidRDefault="005A2677" w:rsidP="0053201B">
      <w:pPr>
        <w:spacing w:after="0"/>
      </w:pPr>
      <w:r>
        <w:continuationSeparator/>
      </w:r>
    </w:p>
  </w:endnote>
  <w:endnote w:type="continuationNotice" w:id="1">
    <w:p w14:paraId="3E43C770" w14:textId="77777777" w:rsidR="005A2677" w:rsidRDefault="005A26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CE13F" w14:textId="77777777" w:rsidR="005A2677" w:rsidRDefault="005A2677" w:rsidP="0053201B">
      <w:pPr>
        <w:spacing w:after="0"/>
      </w:pPr>
      <w:r>
        <w:separator/>
      </w:r>
    </w:p>
  </w:footnote>
  <w:footnote w:type="continuationSeparator" w:id="0">
    <w:p w14:paraId="11EE054C" w14:textId="77777777" w:rsidR="005A2677" w:rsidRDefault="005A2677" w:rsidP="0053201B">
      <w:pPr>
        <w:spacing w:after="0"/>
      </w:pPr>
      <w:r>
        <w:continuationSeparator/>
      </w:r>
    </w:p>
  </w:footnote>
  <w:footnote w:type="continuationNotice" w:id="1">
    <w:p w14:paraId="11B8C40B" w14:textId="77777777" w:rsidR="005A2677" w:rsidRDefault="005A26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7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0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0"/>
  </w:num>
  <w:num w:numId="2" w16cid:durableId="1621305404">
    <w:abstractNumId w:val="1"/>
  </w:num>
  <w:num w:numId="3" w16cid:durableId="225802869">
    <w:abstractNumId w:val="3"/>
  </w:num>
  <w:num w:numId="4" w16cid:durableId="276178333">
    <w:abstractNumId w:val="0"/>
  </w:num>
  <w:num w:numId="5" w16cid:durableId="1935287387">
    <w:abstractNumId w:val="5"/>
  </w:num>
  <w:num w:numId="6" w16cid:durableId="1874151125">
    <w:abstractNumId w:val="4"/>
  </w:num>
  <w:num w:numId="7" w16cid:durableId="578293186">
    <w:abstractNumId w:val="12"/>
  </w:num>
  <w:num w:numId="8" w16cid:durableId="1348213749">
    <w:abstractNumId w:val="13"/>
  </w:num>
  <w:num w:numId="9" w16cid:durableId="182205902">
    <w:abstractNumId w:val="7"/>
  </w:num>
  <w:num w:numId="10" w16cid:durableId="415714229">
    <w:abstractNumId w:val="2"/>
  </w:num>
  <w:num w:numId="11" w16cid:durableId="860585798">
    <w:abstractNumId w:val="11"/>
  </w:num>
  <w:num w:numId="12" w16cid:durableId="1528135396">
    <w:abstractNumId w:val="9"/>
  </w:num>
  <w:num w:numId="13" w16cid:durableId="1820998372">
    <w:abstractNumId w:val="8"/>
  </w:num>
  <w:num w:numId="14" w16cid:durableId="16739907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78FE"/>
    <w:rsid w:val="00007B82"/>
    <w:rsid w:val="00007D73"/>
    <w:rsid w:val="00010E35"/>
    <w:rsid w:val="00013461"/>
    <w:rsid w:val="000145C6"/>
    <w:rsid w:val="00017D94"/>
    <w:rsid w:val="00022822"/>
    <w:rsid w:val="000306B5"/>
    <w:rsid w:val="00032992"/>
    <w:rsid w:val="00033125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93094"/>
    <w:rsid w:val="000935DC"/>
    <w:rsid w:val="00094E71"/>
    <w:rsid w:val="000970DC"/>
    <w:rsid w:val="000A440D"/>
    <w:rsid w:val="000A56A5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285C"/>
    <w:rsid w:val="000D47FB"/>
    <w:rsid w:val="000D5607"/>
    <w:rsid w:val="000D6BD6"/>
    <w:rsid w:val="000D7E97"/>
    <w:rsid w:val="000E33E8"/>
    <w:rsid w:val="000E7DF4"/>
    <w:rsid w:val="000F013E"/>
    <w:rsid w:val="000F5117"/>
    <w:rsid w:val="000F58C5"/>
    <w:rsid w:val="0010170A"/>
    <w:rsid w:val="00107C2C"/>
    <w:rsid w:val="00113B2A"/>
    <w:rsid w:val="00114C85"/>
    <w:rsid w:val="001163DF"/>
    <w:rsid w:val="00120B88"/>
    <w:rsid w:val="00121442"/>
    <w:rsid w:val="00121BDB"/>
    <w:rsid w:val="0012718A"/>
    <w:rsid w:val="001319A1"/>
    <w:rsid w:val="001348C9"/>
    <w:rsid w:val="00135A27"/>
    <w:rsid w:val="001369FC"/>
    <w:rsid w:val="00142DBE"/>
    <w:rsid w:val="0014457D"/>
    <w:rsid w:val="001462A9"/>
    <w:rsid w:val="00146CA5"/>
    <w:rsid w:val="0014783E"/>
    <w:rsid w:val="00160912"/>
    <w:rsid w:val="00161208"/>
    <w:rsid w:val="00161FAB"/>
    <w:rsid w:val="001653C1"/>
    <w:rsid w:val="00167649"/>
    <w:rsid w:val="00167AE0"/>
    <w:rsid w:val="00170C0A"/>
    <w:rsid w:val="001772ED"/>
    <w:rsid w:val="001803A2"/>
    <w:rsid w:val="00181E6F"/>
    <w:rsid w:val="00182315"/>
    <w:rsid w:val="001825C3"/>
    <w:rsid w:val="0018394D"/>
    <w:rsid w:val="00190272"/>
    <w:rsid w:val="00191752"/>
    <w:rsid w:val="00191CD6"/>
    <w:rsid w:val="00197BEC"/>
    <w:rsid w:val="001A2142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D1E76"/>
    <w:rsid w:val="001D27C1"/>
    <w:rsid w:val="001D538E"/>
    <w:rsid w:val="001E05F1"/>
    <w:rsid w:val="001E2ACD"/>
    <w:rsid w:val="001E310D"/>
    <w:rsid w:val="001E4DFB"/>
    <w:rsid w:val="001E51AD"/>
    <w:rsid w:val="001F3F6D"/>
    <w:rsid w:val="001F4658"/>
    <w:rsid w:val="001F4DD0"/>
    <w:rsid w:val="001F5FF5"/>
    <w:rsid w:val="00200EEE"/>
    <w:rsid w:val="0020349E"/>
    <w:rsid w:val="00207990"/>
    <w:rsid w:val="00211997"/>
    <w:rsid w:val="00214C4F"/>
    <w:rsid w:val="00216130"/>
    <w:rsid w:val="00227A51"/>
    <w:rsid w:val="00227F48"/>
    <w:rsid w:val="00231C22"/>
    <w:rsid w:val="00233562"/>
    <w:rsid w:val="00234786"/>
    <w:rsid w:val="00241254"/>
    <w:rsid w:val="00243696"/>
    <w:rsid w:val="00243A28"/>
    <w:rsid w:val="00245845"/>
    <w:rsid w:val="00250189"/>
    <w:rsid w:val="00251CA5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2411"/>
    <w:rsid w:val="002933E2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7498"/>
    <w:rsid w:val="002C228A"/>
    <w:rsid w:val="002C2F63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1EB5"/>
    <w:rsid w:val="002F21B4"/>
    <w:rsid w:val="002F2AB9"/>
    <w:rsid w:val="002F5DAE"/>
    <w:rsid w:val="0030399D"/>
    <w:rsid w:val="00305391"/>
    <w:rsid w:val="00305B4F"/>
    <w:rsid w:val="00307112"/>
    <w:rsid w:val="003133B0"/>
    <w:rsid w:val="00316280"/>
    <w:rsid w:val="00317293"/>
    <w:rsid w:val="0032021E"/>
    <w:rsid w:val="00321D1C"/>
    <w:rsid w:val="00322279"/>
    <w:rsid w:val="003258C5"/>
    <w:rsid w:val="0032724D"/>
    <w:rsid w:val="003305C8"/>
    <w:rsid w:val="00334FD0"/>
    <w:rsid w:val="00337758"/>
    <w:rsid w:val="003465F6"/>
    <w:rsid w:val="00353594"/>
    <w:rsid w:val="00353E63"/>
    <w:rsid w:val="0035667D"/>
    <w:rsid w:val="00361BD3"/>
    <w:rsid w:val="0036304C"/>
    <w:rsid w:val="00372A94"/>
    <w:rsid w:val="00372F65"/>
    <w:rsid w:val="00380879"/>
    <w:rsid w:val="0038129F"/>
    <w:rsid w:val="00381DB5"/>
    <w:rsid w:val="00382370"/>
    <w:rsid w:val="00382371"/>
    <w:rsid w:val="00383BAD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D36"/>
    <w:rsid w:val="003A5241"/>
    <w:rsid w:val="003A7F3D"/>
    <w:rsid w:val="003B0F1D"/>
    <w:rsid w:val="003B42B3"/>
    <w:rsid w:val="003D15E8"/>
    <w:rsid w:val="003D74A8"/>
    <w:rsid w:val="003D7C3F"/>
    <w:rsid w:val="003E3A9E"/>
    <w:rsid w:val="003F072B"/>
    <w:rsid w:val="003F1807"/>
    <w:rsid w:val="003F47E7"/>
    <w:rsid w:val="003F63B9"/>
    <w:rsid w:val="003F677E"/>
    <w:rsid w:val="003F73B2"/>
    <w:rsid w:val="00406761"/>
    <w:rsid w:val="004072E0"/>
    <w:rsid w:val="00407A8F"/>
    <w:rsid w:val="0041345F"/>
    <w:rsid w:val="00416D91"/>
    <w:rsid w:val="00417DE4"/>
    <w:rsid w:val="00421136"/>
    <w:rsid w:val="004215DE"/>
    <w:rsid w:val="00422C13"/>
    <w:rsid w:val="00424A7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5A40"/>
    <w:rsid w:val="00465A5D"/>
    <w:rsid w:val="004669D3"/>
    <w:rsid w:val="004676D5"/>
    <w:rsid w:val="00467828"/>
    <w:rsid w:val="004708EF"/>
    <w:rsid w:val="00471D05"/>
    <w:rsid w:val="00471F05"/>
    <w:rsid w:val="004726BC"/>
    <w:rsid w:val="00474456"/>
    <w:rsid w:val="00475654"/>
    <w:rsid w:val="0047592D"/>
    <w:rsid w:val="00477A2D"/>
    <w:rsid w:val="00480E0D"/>
    <w:rsid w:val="00482050"/>
    <w:rsid w:val="004825C8"/>
    <w:rsid w:val="004849E4"/>
    <w:rsid w:val="004876C7"/>
    <w:rsid w:val="00487D81"/>
    <w:rsid w:val="004912C6"/>
    <w:rsid w:val="00492279"/>
    <w:rsid w:val="004A35BF"/>
    <w:rsid w:val="004A4C44"/>
    <w:rsid w:val="004A75F9"/>
    <w:rsid w:val="004B3DF6"/>
    <w:rsid w:val="004B7A80"/>
    <w:rsid w:val="004C4A1C"/>
    <w:rsid w:val="004C5C10"/>
    <w:rsid w:val="004C7A0E"/>
    <w:rsid w:val="004D1525"/>
    <w:rsid w:val="004D6EBC"/>
    <w:rsid w:val="004D7E41"/>
    <w:rsid w:val="004F1A73"/>
    <w:rsid w:val="004F2BF4"/>
    <w:rsid w:val="004F3FF4"/>
    <w:rsid w:val="0051127D"/>
    <w:rsid w:val="0051387B"/>
    <w:rsid w:val="00514664"/>
    <w:rsid w:val="00515FB6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E40"/>
    <w:rsid w:val="005362DF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A2677"/>
    <w:rsid w:val="005A3804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7EBB"/>
    <w:rsid w:val="005D492B"/>
    <w:rsid w:val="005E51BD"/>
    <w:rsid w:val="005E5BF4"/>
    <w:rsid w:val="005E5D73"/>
    <w:rsid w:val="005F016D"/>
    <w:rsid w:val="005F3AAF"/>
    <w:rsid w:val="005F4E97"/>
    <w:rsid w:val="006009A4"/>
    <w:rsid w:val="006109E1"/>
    <w:rsid w:val="0061354C"/>
    <w:rsid w:val="00616757"/>
    <w:rsid w:val="00622F84"/>
    <w:rsid w:val="00623074"/>
    <w:rsid w:val="00625C6A"/>
    <w:rsid w:val="00630DF7"/>
    <w:rsid w:val="00634324"/>
    <w:rsid w:val="00635B09"/>
    <w:rsid w:val="00636E9B"/>
    <w:rsid w:val="006403D2"/>
    <w:rsid w:val="00641343"/>
    <w:rsid w:val="00647AA7"/>
    <w:rsid w:val="00647C10"/>
    <w:rsid w:val="00650DBE"/>
    <w:rsid w:val="0065351C"/>
    <w:rsid w:val="00654345"/>
    <w:rsid w:val="00655309"/>
    <w:rsid w:val="00655CFE"/>
    <w:rsid w:val="00657456"/>
    <w:rsid w:val="00661D49"/>
    <w:rsid w:val="006638EC"/>
    <w:rsid w:val="00664CCD"/>
    <w:rsid w:val="0066665A"/>
    <w:rsid w:val="00672420"/>
    <w:rsid w:val="0067369F"/>
    <w:rsid w:val="0067716E"/>
    <w:rsid w:val="00677D5D"/>
    <w:rsid w:val="006854BF"/>
    <w:rsid w:val="00692821"/>
    <w:rsid w:val="00692B4E"/>
    <w:rsid w:val="00693E6F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36A4"/>
    <w:rsid w:val="006B456A"/>
    <w:rsid w:val="006B48CF"/>
    <w:rsid w:val="006B506A"/>
    <w:rsid w:val="006B526B"/>
    <w:rsid w:val="006B68D2"/>
    <w:rsid w:val="006C0379"/>
    <w:rsid w:val="006C2DEE"/>
    <w:rsid w:val="006D028C"/>
    <w:rsid w:val="006D60FF"/>
    <w:rsid w:val="006D77D2"/>
    <w:rsid w:val="006E19B4"/>
    <w:rsid w:val="006E4C77"/>
    <w:rsid w:val="006F04C9"/>
    <w:rsid w:val="00702E9C"/>
    <w:rsid w:val="0070321C"/>
    <w:rsid w:val="00703620"/>
    <w:rsid w:val="00707575"/>
    <w:rsid w:val="00710913"/>
    <w:rsid w:val="00715476"/>
    <w:rsid w:val="007176BB"/>
    <w:rsid w:val="00717FE4"/>
    <w:rsid w:val="00722534"/>
    <w:rsid w:val="00724601"/>
    <w:rsid w:val="0073064D"/>
    <w:rsid w:val="00730848"/>
    <w:rsid w:val="00732C96"/>
    <w:rsid w:val="007333A6"/>
    <w:rsid w:val="00734E38"/>
    <w:rsid w:val="00737DCA"/>
    <w:rsid w:val="00741F1C"/>
    <w:rsid w:val="007439AB"/>
    <w:rsid w:val="00745310"/>
    <w:rsid w:val="007461F6"/>
    <w:rsid w:val="00746F1D"/>
    <w:rsid w:val="00747D7E"/>
    <w:rsid w:val="00761FA1"/>
    <w:rsid w:val="00765938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6A54"/>
    <w:rsid w:val="007B204C"/>
    <w:rsid w:val="007B49CD"/>
    <w:rsid w:val="007B4C9B"/>
    <w:rsid w:val="007B7220"/>
    <w:rsid w:val="007C14BE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2904"/>
    <w:rsid w:val="00805C08"/>
    <w:rsid w:val="008134E2"/>
    <w:rsid w:val="00813CE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360C"/>
    <w:rsid w:val="00843999"/>
    <w:rsid w:val="00845BA2"/>
    <w:rsid w:val="00846781"/>
    <w:rsid w:val="008470E2"/>
    <w:rsid w:val="00847821"/>
    <w:rsid w:val="00851D28"/>
    <w:rsid w:val="00852BD0"/>
    <w:rsid w:val="00853E26"/>
    <w:rsid w:val="00860E1B"/>
    <w:rsid w:val="008611CC"/>
    <w:rsid w:val="00861244"/>
    <w:rsid w:val="008612ED"/>
    <w:rsid w:val="0086319B"/>
    <w:rsid w:val="00864431"/>
    <w:rsid w:val="008655A2"/>
    <w:rsid w:val="00866F86"/>
    <w:rsid w:val="0087034A"/>
    <w:rsid w:val="00874776"/>
    <w:rsid w:val="00876B24"/>
    <w:rsid w:val="0088291E"/>
    <w:rsid w:val="00883A0D"/>
    <w:rsid w:val="00883D5B"/>
    <w:rsid w:val="00884234"/>
    <w:rsid w:val="00884DBF"/>
    <w:rsid w:val="008A0322"/>
    <w:rsid w:val="008A08E3"/>
    <w:rsid w:val="008A151F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601E"/>
    <w:rsid w:val="008B70F8"/>
    <w:rsid w:val="008B7486"/>
    <w:rsid w:val="008C74EC"/>
    <w:rsid w:val="008D2A99"/>
    <w:rsid w:val="008D385B"/>
    <w:rsid w:val="008D4695"/>
    <w:rsid w:val="008D51D4"/>
    <w:rsid w:val="008E04A7"/>
    <w:rsid w:val="008E201F"/>
    <w:rsid w:val="008F3643"/>
    <w:rsid w:val="009006F1"/>
    <w:rsid w:val="0090105B"/>
    <w:rsid w:val="00904EA2"/>
    <w:rsid w:val="00911599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7778"/>
    <w:rsid w:val="00937DBF"/>
    <w:rsid w:val="0094156F"/>
    <w:rsid w:val="00945D74"/>
    <w:rsid w:val="00947EAE"/>
    <w:rsid w:val="00950B5B"/>
    <w:rsid w:val="00951776"/>
    <w:rsid w:val="00955547"/>
    <w:rsid w:val="009570AD"/>
    <w:rsid w:val="0095735B"/>
    <w:rsid w:val="009579A6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2875"/>
    <w:rsid w:val="00993E9B"/>
    <w:rsid w:val="009969E1"/>
    <w:rsid w:val="009971EA"/>
    <w:rsid w:val="009A07CB"/>
    <w:rsid w:val="009A16C8"/>
    <w:rsid w:val="009A5414"/>
    <w:rsid w:val="009B04B9"/>
    <w:rsid w:val="009B093C"/>
    <w:rsid w:val="009B4E68"/>
    <w:rsid w:val="009C1B01"/>
    <w:rsid w:val="009C5EBE"/>
    <w:rsid w:val="009C6FD0"/>
    <w:rsid w:val="009C70C7"/>
    <w:rsid w:val="009C729C"/>
    <w:rsid w:val="009D0D6F"/>
    <w:rsid w:val="009E07C8"/>
    <w:rsid w:val="009E5A8B"/>
    <w:rsid w:val="009E628C"/>
    <w:rsid w:val="009E7FB8"/>
    <w:rsid w:val="009F3EB1"/>
    <w:rsid w:val="00A00339"/>
    <w:rsid w:val="00A00B4C"/>
    <w:rsid w:val="00A02283"/>
    <w:rsid w:val="00A03963"/>
    <w:rsid w:val="00A21326"/>
    <w:rsid w:val="00A23173"/>
    <w:rsid w:val="00A231AB"/>
    <w:rsid w:val="00A2439E"/>
    <w:rsid w:val="00A26E72"/>
    <w:rsid w:val="00A30FB0"/>
    <w:rsid w:val="00A3193E"/>
    <w:rsid w:val="00A334B2"/>
    <w:rsid w:val="00A34440"/>
    <w:rsid w:val="00A378C3"/>
    <w:rsid w:val="00A40271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765A"/>
    <w:rsid w:val="00A70CDE"/>
    <w:rsid w:val="00A71E6B"/>
    <w:rsid w:val="00A727B4"/>
    <w:rsid w:val="00A73FFB"/>
    <w:rsid w:val="00A7700C"/>
    <w:rsid w:val="00A83755"/>
    <w:rsid w:val="00A83C51"/>
    <w:rsid w:val="00A84DDA"/>
    <w:rsid w:val="00A85FE3"/>
    <w:rsid w:val="00A918B9"/>
    <w:rsid w:val="00A91CBE"/>
    <w:rsid w:val="00A925FF"/>
    <w:rsid w:val="00A95936"/>
    <w:rsid w:val="00AA1968"/>
    <w:rsid w:val="00AA6AEE"/>
    <w:rsid w:val="00AA76AD"/>
    <w:rsid w:val="00AB0E83"/>
    <w:rsid w:val="00AB1AA7"/>
    <w:rsid w:val="00AB3A71"/>
    <w:rsid w:val="00AC035B"/>
    <w:rsid w:val="00AC04C4"/>
    <w:rsid w:val="00AC0F1B"/>
    <w:rsid w:val="00AC3B9F"/>
    <w:rsid w:val="00AC50AE"/>
    <w:rsid w:val="00AC5F64"/>
    <w:rsid w:val="00AC69E2"/>
    <w:rsid w:val="00AC7215"/>
    <w:rsid w:val="00AC7669"/>
    <w:rsid w:val="00AD00BC"/>
    <w:rsid w:val="00AD2D49"/>
    <w:rsid w:val="00AD47F0"/>
    <w:rsid w:val="00AD7C44"/>
    <w:rsid w:val="00AE27F2"/>
    <w:rsid w:val="00AE2A09"/>
    <w:rsid w:val="00AE3E07"/>
    <w:rsid w:val="00AE510F"/>
    <w:rsid w:val="00AE78ED"/>
    <w:rsid w:val="00B018CF"/>
    <w:rsid w:val="00B0600C"/>
    <w:rsid w:val="00B11736"/>
    <w:rsid w:val="00B20B7F"/>
    <w:rsid w:val="00B22084"/>
    <w:rsid w:val="00B23D5E"/>
    <w:rsid w:val="00B25ED1"/>
    <w:rsid w:val="00B26FC9"/>
    <w:rsid w:val="00B27851"/>
    <w:rsid w:val="00B27918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5E5C"/>
    <w:rsid w:val="00B90847"/>
    <w:rsid w:val="00B92A0F"/>
    <w:rsid w:val="00BA1599"/>
    <w:rsid w:val="00BA397F"/>
    <w:rsid w:val="00BA7195"/>
    <w:rsid w:val="00BB0108"/>
    <w:rsid w:val="00BB1073"/>
    <w:rsid w:val="00BB5183"/>
    <w:rsid w:val="00BB657F"/>
    <w:rsid w:val="00BB6985"/>
    <w:rsid w:val="00BB6A46"/>
    <w:rsid w:val="00BB7E35"/>
    <w:rsid w:val="00BC6490"/>
    <w:rsid w:val="00BC68D8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C04E20"/>
    <w:rsid w:val="00C057FC"/>
    <w:rsid w:val="00C0747D"/>
    <w:rsid w:val="00C11F67"/>
    <w:rsid w:val="00C12964"/>
    <w:rsid w:val="00C16CAD"/>
    <w:rsid w:val="00C26ADB"/>
    <w:rsid w:val="00C27828"/>
    <w:rsid w:val="00C30441"/>
    <w:rsid w:val="00C36C62"/>
    <w:rsid w:val="00C447A0"/>
    <w:rsid w:val="00C502CB"/>
    <w:rsid w:val="00C51557"/>
    <w:rsid w:val="00C53FA0"/>
    <w:rsid w:val="00C56AF7"/>
    <w:rsid w:val="00C57F17"/>
    <w:rsid w:val="00C614EB"/>
    <w:rsid w:val="00C619C5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7564"/>
    <w:rsid w:val="00C979FD"/>
    <w:rsid w:val="00CA01C8"/>
    <w:rsid w:val="00CA3370"/>
    <w:rsid w:val="00CA5478"/>
    <w:rsid w:val="00CB27F4"/>
    <w:rsid w:val="00CB32D4"/>
    <w:rsid w:val="00CB5016"/>
    <w:rsid w:val="00CB686D"/>
    <w:rsid w:val="00CC1DDA"/>
    <w:rsid w:val="00CC2787"/>
    <w:rsid w:val="00CC3A02"/>
    <w:rsid w:val="00CC3F7E"/>
    <w:rsid w:val="00CD04F2"/>
    <w:rsid w:val="00CD31EF"/>
    <w:rsid w:val="00CD5BE7"/>
    <w:rsid w:val="00CE53D8"/>
    <w:rsid w:val="00CE63B2"/>
    <w:rsid w:val="00CE6EE0"/>
    <w:rsid w:val="00CE7249"/>
    <w:rsid w:val="00CE7EAC"/>
    <w:rsid w:val="00CF1C8B"/>
    <w:rsid w:val="00CF7360"/>
    <w:rsid w:val="00CF77B6"/>
    <w:rsid w:val="00CF7D4E"/>
    <w:rsid w:val="00D02DE4"/>
    <w:rsid w:val="00D07B54"/>
    <w:rsid w:val="00D07C30"/>
    <w:rsid w:val="00D1149A"/>
    <w:rsid w:val="00D11CB1"/>
    <w:rsid w:val="00D13023"/>
    <w:rsid w:val="00D14256"/>
    <w:rsid w:val="00D14D1D"/>
    <w:rsid w:val="00D1572E"/>
    <w:rsid w:val="00D20B46"/>
    <w:rsid w:val="00D21D43"/>
    <w:rsid w:val="00D22A4C"/>
    <w:rsid w:val="00D25364"/>
    <w:rsid w:val="00D30345"/>
    <w:rsid w:val="00D342AE"/>
    <w:rsid w:val="00D34980"/>
    <w:rsid w:val="00D40D1C"/>
    <w:rsid w:val="00D41446"/>
    <w:rsid w:val="00D4248B"/>
    <w:rsid w:val="00D47EE7"/>
    <w:rsid w:val="00D54E35"/>
    <w:rsid w:val="00D55906"/>
    <w:rsid w:val="00D604D0"/>
    <w:rsid w:val="00D61AB0"/>
    <w:rsid w:val="00D61CC4"/>
    <w:rsid w:val="00D62937"/>
    <w:rsid w:val="00D70A67"/>
    <w:rsid w:val="00D72686"/>
    <w:rsid w:val="00D73A5D"/>
    <w:rsid w:val="00D76887"/>
    <w:rsid w:val="00D77467"/>
    <w:rsid w:val="00D80C6C"/>
    <w:rsid w:val="00D82BB3"/>
    <w:rsid w:val="00D83B8C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C5ACA"/>
    <w:rsid w:val="00DC7611"/>
    <w:rsid w:val="00DD0F13"/>
    <w:rsid w:val="00DD51B9"/>
    <w:rsid w:val="00DE01D9"/>
    <w:rsid w:val="00DE0FFD"/>
    <w:rsid w:val="00DE4456"/>
    <w:rsid w:val="00DE50F5"/>
    <w:rsid w:val="00DE69CF"/>
    <w:rsid w:val="00E0133A"/>
    <w:rsid w:val="00E02357"/>
    <w:rsid w:val="00E02FD4"/>
    <w:rsid w:val="00E201BC"/>
    <w:rsid w:val="00E20D88"/>
    <w:rsid w:val="00E24BC1"/>
    <w:rsid w:val="00E25EDB"/>
    <w:rsid w:val="00E30E51"/>
    <w:rsid w:val="00E31A2B"/>
    <w:rsid w:val="00E31C49"/>
    <w:rsid w:val="00E32C07"/>
    <w:rsid w:val="00E33389"/>
    <w:rsid w:val="00E33B2F"/>
    <w:rsid w:val="00E42A8D"/>
    <w:rsid w:val="00E45DA8"/>
    <w:rsid w:val="00E460F9"/>
    <w:rsid w:val="00E5454D"/>
    <w:rsid w:val="00E55098"/>
    <w:rsid w:val="00E566FA"/>
    <w:rsid w:val="00E60D19"/>
    <w:rsid w:val="00E615DC"/>
    <w:rsid w:val="00E625BD"/>
    <w:rsid w:val="00E66838"/>
    <w:rsid w:val="00E67080"/>
    <w:rsid w:val="00E7466F"/>
    <w:rsid w:val="00E8044A"/>
    <w:rsid w:val="00E80BB6"/>
    <w:rsid w:val="00E94167"/>
    <w:rsid w:val="00E96224"/>
    <w:rsid w:val="00E971E3"/>
    <w:rsid w:val="00E97841"/>
    <w:rsid w:val="00EB0E14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5BE5"/>
    <w:rsid w:val="00ED6420"/>
    <w:rsid w:val="00EE1C2D"/>
    <w:rsid w:val="00EE774D"/>
    <w:rsid w:val="00EF0E3B"/>
    <w:rsid w:val="00EF175B"/>
    <w:rsid w:val="00EF5544"/>
    <w:rsid w:val="00EF5E3B"/>
    <w:rsid w:val="00EF6315"/>
    <w:rsid w:val="00F004D7"/>
    <w:rsid w:val="00F0178D"/>
    <w:rsid w:val="00F01C01"/>
    <w:rsid w:val="00F0243C"/>
    <w:rsid w:val="00F03EC3"/>
    <w:rsid w:val="00F04353"/>
    <w:rsid w:val="00F05646"/>
    <w:rsid w:val="00F06B38"/>
    <w:rsid w:val="00F076B6"/>
    <w:rsid w:val="00F14541"/>
    <w:rsid w:val="00F17B30"/>
    <w:rsid w:val="00F20932"/>
    <w:rsid w:val="00F23A4F"/>
    <w:rsid w:val="00F2540E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3E15"/>
    <w:rsid w:val="00F53ED4"/>
    <w:rsid w:val="00F54224"/>
    <w:rsid w:val="00F546F1"/>
    <w:rsid w:val="00F57B90"/>
    <w:rsid w:val="00F61DDF"/>
    <w:rsid w:val="00F634CC"/>
    <w:rsid w:val="00F70389"/>
    <w:rsid w:val="00F737C7"/>
    <w:rsid w:val="00F74F6E"/>
    <w:rsid w:val="00FA52A2"/>
    <w:rsid w:val="00FA7D1D"/>
    <w:rsid w:val="00FA7D4B"/>
    <w:rsid w:val="00FB1152"/>
    <w:rsid w:val="00FB1758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99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uiPriority w:val="99"/>
    <w:qFormat/>
    <w:rsid w:val="00010E35"/>
    <w:rPr>
      <w:b/>
    </w:rPr>
  </w:style>
  <w:style w:type="character" w:customStyle="1" w:styleId="TAHCar">
    <w:name w:val="TAH Car"/>
    <w:link w:val="TAH"/>
    <w:uiPriority w:val="99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2270</TotalTime>
  <Pages>4</Pages>
  <Words>1838</Words>
  <Characters>10481</Characters>
  <Application>Microsoft Office Word</Application>
  <DocSecurity>0</DocSecurity>
  <Lines>87</Lines>
  <Paragraphs>24</Paragraphs>
  <ScaleCrop>false</ScaleCrop>
  <Company>Qualcomm Incorporated</Company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825</cp:revision>
  <dcterms:created xsi:type="dcterms:W3CDTF">2024-03-28T10:16:00Z</dcterms:created>
  <dcterms:modified xsi:type="dcterms:W3CDTF">2024-10-07T06:32:00Z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